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CB7C141" w:rsidR="00F92268" w:rsidRPr="00ED048E" w:rsidRDefault="00F92268" w:rsidP="00850792">
      <w:pPr>
        <w:pStyle w:val="BodyText"/>
        <w:rPr>
          <w:sz w:val="6"/>
          <w:szCs w:val="6"/>
        </w:rPr>
      </w:pPr>
      <w:r w:rsidRPr="00ED048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ED048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D048E" w:rsidRDefault="00F92268" w:rsidP="00F246C7">
            <w:pPr>
              <w:pStyle w:val="RefTableData"/>
            </w:pPr>
            <w:r w:rsidRPr="00ED048E">
              <w:t>Reference number(s)</w:t>
            </w:r>
          </w:p>
        </w:tc>
      </w:tr>
      <w:tr w:rsidR="00F92268" w:rsidRPr="00ED048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1EC9951B" w:rsidR="00F92268" w:rsidRPr="00ED048E" w:rsidRDefault="006C5F67" w:rsidP="00F246C7">
            <w:pPr>
              <w:pStyle w:val="RefTableHeader"/>
            </w:pPr>
            <w:r w:rsidRPr="00ED048E">
              <w:t>1742-A</w:t>
            </w:r>
          </w:p>
        </w:tc>
      </w:tr>
    </w:tbl>
    <w:p w14:paraId="74FBA5B4" w14:textId="77777777" w:rsidR="00051356" w:rsidRPr="00ED048E" w:rsidRDefault="00051356" w:rsidP="00174B72">
      <w:pPr>
        <w:pStyle w:val="BodyText"/>
        <w:spacing w:after="0"/>
        <w:rPr>
          <w:b/>
          <w:bCs/>
        </w:rPr>
        <w:sectPr w:rsidR="00051356" w:rsidRPr="00ED048E" w:rsidSect="00C22BA2">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4504ACA9" w:rsidR="004B15BB" w:rsidRPr="00ED048E" w:rsidRDefault="007A7A2C" w:rsidP="00540E27">
      <w:pPr>
        <w:pStyle w:val="Heading1"/>
      </w:pPr>
      <w:r w:rsidRPr="00ED048E">
        <w:t>Specialty Guideline Management</w:t>
      </w:r>
      <w:r w:rsidR="00FB7CA0" w:rsidRPr="00ED048E">
        <w:br/>
      </w:r>
      <w:r w:rsidR="00FF293C" w:rsidRPr="00FF293C">
        <w:t>Growth Hormone Without ISS</w:t>
      </w:r>
    </w:p>
    <w:p w14:paraId="4B9FEEA3" w14:textId="77777777" w:rsidR="00DA0969" w:rsidRPr="00ED048E" w:rsidRDefault="00DA0969" w:rsidP="00DA0969">
      <w:pPr>
        <w:pStyle w:val="Heading2"/>
      </w:pPr>
      <w:r w:rsidRPr="00ED048E">
        <w:t>Products Referenced by this Document</w:t>
      </w:r>
    </w:p>
    <w:p w14:paraId="5192D2EF" w14:textId="36AD780F" w:rsidR="00DA0969" w:rsidRPr="00ED048E" w:rsidRDefault="00DA0969" w:rsidP="00DA0969">
      <w:pPr>
        <w:pStyle w:val="BodyText"/>
      </w:pPr>
      <w:r w:rsidRPr="00ED048E">
        <w:t xml:space="preserve">Drugs that are listed in the following table include both brand and generic and all dosage forms and strengths unless otherwise stated. </w:t>
      </w:r>
      <w:proofErr w:type="gramStart"/>
      <w:r w:rsidR="00BF203C">
        <w:t>Over</w:t>
      </w:r>
      <w:r w:rsidR="00305488">
        <w:t>-</w:t>
      </w:r>
      <w:r w:rsidR="00BF203C">
        <w:t>the</w:t>
      </w:r>
      <w:r w:rsidR="00305488">
        <w:t>-</w:t>
      </w:r>
      <w:r w:rsidR="00BF203C">
        <w:t>counter</w:t>
      </w:r>
      <w:proofErr w:type="gramEnd"/>
      <w:r w:rsidR="00BF203C">
        <w:t xml:space="preserve"> (</w:t>
      </w:r>
      <w:r w:rsidRPr="00ED048E">
        <w:t>OTC</w:t>
      </w:r>
      <w:r w:rsidR="00BF203C">
        <w:t>)</w:t>
      </w:r>
      <w:r w:rsidRPr="00ED048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DA0969" w:rsidRPr="00ED048E" w14:paraId="4F535815" w14:textId="77777777" w:rsidTr="009D0219">
        <w:trPr>
          <w:cantSplit/>
          <w:trHeight w:val="288"/>
          <w:tblHeader/>
        </w:trPr>
        <w:tc>
          <w:tcPr>
            <w:tcW w:w="5265" w:type="dxa"/>
            <w:vAlign w:val="center"/>
          </w:tcPr>
          <w:p w14:paraId="08B2EE00" w14:textId="77777777" w:rsidR="00DA0969" w:rsidRPr="00ED048E" w:rsidRDefault="00DA0969" w:rsidP="009D0219">
            <w:pPr>
              <w:pStyle w:val="TableHeader"/>
            </w:pPr>
            <w:bookmarkStart w:id="0" w:name="_Hlk159603270"/>
            <w:r w:rsidRPr="00ED048E">
              <w:t>Brand Name</w:t>
            </w:r>
          </w:p>
        </w:tc>
        <w:tc>
          <w:tcPr>
            <w:tcW w:w="5595" w:type="dxa"/>
            <w:vAlign w:val="center"/>
          </w:tcPr>
          <w:p w14:paraId="53611AF0" w14:textId="77777777" w:rsidR="00DA0969" w:rsidRPr="00ED048E" w:rsidRDefault="00DA0969" w:rsidP="009D0219">
            <w:pPr>
              <w:pStyle w:val="TableHeader"/>
            </w:pPr>
            <w:r w:rsidRPr="00ED048E">
              <w:t>Generic Name</w:t>
            </w:r>
          </w:p>
        </w:tc>
      </w:tr>
      <w:tr w:rsidR="00DA0969" w:rsidRPr="00ED048E" w14:paraId="20B40BB7" w14:textId="77777777" w:rsidTr="009D0219">
        <w:trPr>
          <w:cantSplit/>
        </w:trPr>
        <w:tc>
          <w:tcPr>
            <w:tcW w:w="5265" w:type="dxa"/>
          </w:tcPr>
          <w:p w14:paraId="4B66F0E0" w14:textId="77777777" w:rsidR="00DA0969" w:rsidRPr="00ED048E" w:rsidRDefault="00DA0969" w:rsidP="009D0219">
            <w:pPr>
              <w:pStyle w:val="TableDataUnpadded"/>
            </w:pPr>
            <w:r w:rsidRPr="00ED048E">
              <w:t>Genotropin</w:t>
            </w:r>
          </w:p>
        </w:tc>
        <w:tc>
          <w:tcPr>
            <w:tcW w:w="5595" w:type="dxa"/>
          </w:tcPr>
          <w:p w14:paraId="473393A5" w14:textId="77777777" w:rsidR="00DA0969" w:rsidRPr="00ED048E" w:rsidRDefault="00DA0969" w:rsidP="009D0219">
            <w:pPr>
              <w:pStyle w:val="TableDataUnpadded"/>
            </w:pPr>
            <w:r w:rsidRPr="00ED048E">
              <w:t>somatropin</w:t>
            </w:r>
          </w:p>
        </w:tc>
      </w:tr>
      <w:tr w:rsidR="00DA0969" w:rsidRPr="00ED048E" w14:paraId="11D42F56" w14:textId="77777777" w:rsidTr="009D0219">
        <w:trPr>
          <w:cantSplit/>
        </w:trPr>
        <w:tc>
          <w:tcPr>
            <w:tcW w:w="5265" w:type="dxa"/>
          </w:tcPr>
          <w:p w14:paraId="36323F1A" w14:textId="77777777" w:rsidR="00DA0969" w:rsidRPr="00ED048E" w:rsidRDefault="00DA0969" w:rsidP="009D0219">
            <w:pPr>
              <w:pStyle w:val="TableDataUnpadded"/>
            </w:pPr>
            <w:r w:rsidRPr="00ED048E">
              <w:t>Humatrope</w:t>
            </w:r>
          </w:p>
        </w:tc>
        <w:tc>
          <w:tcPr>
            <w:tcW w:w="5595" w:type="dxa"/>
          </w:tcPr>
          <w:p w14:paraId="40AB9732" w14:textId="77777777" w:rsidR="00DA0969" w:rsidRPr="00ED048E" w:rsidRDefault="00DA0969" w:rsidP="009D0219">
            <w:pPr>
              <w:pStyle w:val="TableDataUnpadded"/>
            </w:pPr>
            <w:r w:rsidRPr="00ED048E">
              <w:t>somatropin</w:t>
            </w:r>
          </w:p>
        </w:tc>
      </w:tr>
      <w:tr w:rsidR="00DA0969" w:rsidRPr="00ED048E" w14:paraId="6B62A8AF" w14:textId="77777777" w:rsidTr="009D0219">
        <w:trPr>
          <w:cantSplit/>
        </w:trPr>
        <w:tc>
          <w:tcPr>
            <w:tcW w:w="5265" w:type="dxa"/>
          </w:tcPr>
          <w:p w14:paraId="1428A560" w14:textId="77777777" w:rsidR="00DA0969" w:rsidRPr="00ED048E" w:rsidRDefault="00DA0969" w:rsidP="009D0219">
            <w:pPr>
              <w:pStyle w:val="TableDataUnpadded"/>
            </w:pPr>
            <w:r w:rsidRPr="00ED048E">
              <w:t>Norditropin</w:t>
            </w:r>
          </w:p>
        </w:tc>
        <w:tc>
          <w:tcPr>
            <w:tcW w:w="5595" w:type="dxa"/>
          </w:tcPr>
          <w:p w14:paraId="765D1103" w14:textId="77777777" w:rsidR="00DA0969" w:rsidRPr="00ED048E" w:rsidRDefault="00DA0969" w:rsidP="009D0219">
            <w:pPr>
              <w:pStyle w:val="TableDataUnpadded"/>
            </w:pPr>
            <w:r w:rsidRPr="00ED048E">
              <w:t>somatropin</w:t>
            </w:r>
          </w:p>
        </w:tc>
      </w:tr>
      <w:tr w:rsidR="00DA0969" w:rsidRPr="00ED048E" w14:paraId="7DD25588" w14:textId="77777777" w:rsidTr="009D0219">
        <w:trPr>
          <w:cantSplit/>
        </w:trPr>
        <w:tc>
          <w:tcPr>
            <w:tcW w:w="5265" w:type="dxa"/>
          </w:tcPr>
          <w:p w14:paraId="42EE2082" w14:textId="77777777" w:rsidR="00DA0969" w:rsidRPr="00ED048E" w:rsidRDefault="00DA0969" w:rsidP="009D0219">
            <w:pPr>
              <w:pStyle w:val="TableDataUnpadded"/>
            </w:pPr>
            <w:r w:rsidRPr="00ED048E">
              <w:t>Nutropin AQ</w:t>
            </w:r>
          </w:p>
        </w:tc>
        <w:tc>
          <w:tcPr>
            <w:tcW w:w="5595" w:type="dxa"/>
          </w:tcPr>
          <w:p w14:paraId="4461FA76" w14:textId="77777777" w:rsidR="00DA0969" w:rsidRPr="00ED048E" w:rsidRDefault="00DA0969" w:rsidP="009D0219">
            <w:pPr>
              <w:pStyle w:val="TableDataUnpadded"/>
            </w:pPr>
            <w:r w:rsidRPr="00ED048E">
              <w:t>somatropin</w:t>
            </w:r>
          </w:p>
        </w:tc>
      </w:tr>
      <w:tr w:rsidR="00DA0969" w:rsidRPr="00ED048E" w14:paraId="7DC6AB03" w14:textId="77777777" w:rsidTr="009D0219">
        <w:trPr>
          <w:cantSplit/>
        </w:trPr>
        <w:tc>
          <w:tcPr>
            <w:tcW w:w="5265" w:type="dxa"/>
          </w:tcPr>
          <w:p w14:paraId="09284C5A" w14:textId="77777777" w:rsidR="00DA0969" w:rsidRPr="00ED048E" w:rsidRDefault="00DA0969" w:rsidP="009D0219">
            <w:pPr>
              <w:pStyle w:val="TableDataUnpadded"/>
            </w:pPr>
            <w:r w:rsidRPr="00ED048E">
              <w:t>Omnitrope</w:t>
            </w:r>
          </w:p>
        </w:tc>
        <w:tc>
          <w:tcPr>
            <w:tcW w:w="5595" w:type="dxa"/>
          </w:tcPr>
          <w:p w14:paraId="6A05DB9B" w14:textId="77777777" w:rsidR="00DA0969" w:rsidRPr="00ED048E" w:rsidRDefault="00DA0969" w:rsidP="009D0219">
            <w:pPr>
              <w:pStyle w:val="TableDataUnpadded"/>
            </w:pPr>
            <w:r w:rsidRPr="00ED048E">
              <w:t>somatropin</w:t>
            </w:r>
          </w:p>
        </w:tc>
      </w:tr>
      <w:tr w:rsidR="00DA0969" w:rsidRPr="00ED048E" w14:paraId="1525E082" w14:textId="77777777" w:rsidTr="009D0219">
        <w:trPr>
          <w:cantSplit/>
        </w:trPr>
        <w:tc>
          <w:tcPr>
            <w:tcW w:w="5265" w:type="dxa"/>
          </w:tcPr>
          <w:p w14:paraId="499B8CE6" w14:textId="77777777" w:rsidR="00DA0969" w:rsidRPr="00ED048E" w:rsidRDefault="00DA0969" w:rsidP="009D0219">
            <w:pPr>
              <w:pStyle w:val="TableDataUnpadded"/>
            </w:pPr>
            <w:r w:rsidRPr="00ED048E">
              <w:t>Saizen</w:t>
            </w:r>
          </w:p>
        </w:tc>
        <w:tc>
          <w:tcPr>
            <w:tcW w:w="5595" w:type="dxa"/>
          </w:tcPr>
          <w:p w14:paraId="6F79224D" w14:textId="77777777" w:rsidR="00DA0969" w:rsidRPr="00ED048E" w:rsidRDefault="00DA0969" w:rsidP="009D0219">
            <w:pPr>
              <w:pStyle w:val="TableDataUnpadded"/>
            </w:pPr>
            <w:r w:rsidRPr="00ED048E">
              <w:t>somatropin</w:t>
            </w:r>
          </w:p>
        </w:tc>
      </w:tr>
      <w:tr w:rsidR="00DA0969" w:rsidRPr="00ED048E" w14:paraId="42365253" w14:textId="77777777" w:rsidTr="009D0219">
        <w:trPr>
          <w:cantSplit/>
        </w:trPr>
        <w:tc>
          <w:tcPr>
            <w:tcW w:w="5265" w:type="dxa"/>
          </w:tcPr>
          <w:p w14:paraId="69228A81" w14:textId="77777777" w:rsidR="00DA0969" w:rsidRPr="00ED048E" w:rsidRDefault="00DA0969" w:rsidP="009D0219">
            <w:pPr>
              <w:pStyle w:val="TableDataUnpadded"/>
            </w:pPr>
            <w:proofErr w:type="spellStart"/>
            <w:r w:rsidRPr="00ED048E">
              <w:t>Zomacton</w:t>
            </w:r>
            <w:proofErr w:type="spellEnd"/>
          </w:p>
        </w:tc>
        <w:tc>
          <w:tcPr>
            <w:tcW w:w="5595" w:type="dxa"/>
          </w:tcPr>
          <w:p w14:paraId="6D28684D" w14:textId="77777777" w:rsidR="00DA0969" w:rsidRPr="00ED048E" w:rsidRDefault="00DA0969" w:rsidP="009D0219">
            <w:pPr>
              <w:pStyle w:val="TableDataUnpadded"/>
            </w:pPr>
            <w:r w:rsidRPr="00ED048E">
              <w:t>somatropin</w:t>
            </w:r>
          </w:p>
        </w:tc>
      </w:tr>
    </w:tbl>
    <w:bookmarkEnd w:id="0"/>
    <w:p w14:paraId="14CE6108" w14:textId="43E5C4D4" w:rsidR="00FC1AAD" w:rsidRPr="00ED048E" w:rsidRDefault="00ED052F" w:rsidP="00126D87">
      <w:pPr>
        <w:pStyle w:val="Heading2"/>
        <w:tabs>
          <w:tab w:val="left" w:pos="9195"/>
        </w:tabs>
        <w:spacing w:before="440"/>
      </w:pPr>
      <w:r w:rsidRPr="00ED048E">
        <w:t>Indications</w:t>
      </w:r>
    </w:p>
    <w:p w14:paraId="4AA8A91B" w14:textId="505188E1" w:rsidR="007A7A2C" w:rsidRPr="00ED048E" w:rsidRDefault="007A7A2C" w:rsidP="0084364B">
      <w:pPr>
        <w:pStyle w:val="BodyText"/>
      </w:pPr>
      <w:r w:rsidRPr="00ED048E">
        <w:t xml:space="preserve">The indications below including FDA-approved indications and compendial uses are considered a covered benefit provided that all the approval criteria are </w:t>
      </w:r>
      <w:proofErr w:type="gramStart"/>
      <w:r w:rsidRPr="00ED048E">
        <w:t>met</w:t>
      </w:r>
      <w:proofErr w:type="gramEnd"/>
      <w:r w:rsidRPr="00ED048E">
        <w:t xml:space="preserve"> and the member has no contraindications or exclusions to the prescribed therapy</w:t>
      </w:r>
      <w:r w:rsidR="005F478E" w:rsidRPr="00ED048E">
        <w:t>.</w:t>
      </w:r>
    </w:p>
    <w:p w14:paraId="134B5687" w14:textId="1250B158" w:rsidR="00ED052F" w:rsidRPr="00ED048E" w:rsidRDefault="00ED052F" w:rsidP="00ED052F">
      <w:pPr>
        <w:pStyle w:val="Heading3"/>
        <w:keepNext w:val="0"/>
      </w:pPr>
      <w:r w:rsidRPr="00ED048E">
        <w:t>FDA-approved Indications</w:t>
      </w:r>
    </w:p>
    <w:p w14:paraId="5E11B297" w14:textId="5F60AD5B" w:rsidR="007A7A2C" w:rsidRPr="00ED048E" w:rsidRDefault="007A7A2C" w:rsidP="00126D87">
      <w:pPr>
        <w:pStyle w:val="ListParagraph"/>
        <w:keepLines/>
        <w:numPr>
          <w:ilvl w:val="0"/>
          <w:numId w:val="26"/>
        </w:numPr>
      </w:pPr>
      <w:r w:rsidRPr="00ED048E">
        <w:t>Pediatric patients with growth failure due to any of the following:</w:t>
      </w:r>
    </w:p>
    <w:p w14:paraId="67FD3B52" w14:textId="5DF5B15C" w:rsidR="007A7A2C" w:rsidRPr="00ED048E" w:rsidRDefault="007A7A2C" w:rsidP="00126D87">
      <w:pPr>
        <w:pStyle w:val="ListParagraph"/>
        <w:keepLines/>
        <w:numPr>
          <w:ilvl w:val="1"/>
          <w:numId w:val="28"/>
        </w:numPr>
      </w:pPr>
      <w:r w:rsidRPr="00ED048E">
        <w:t>Growth hormone (GH) deficiency</w:t>
      </w:r>
      <w:r w:rsidRPr="00ED048E">
        <w:rPr>
          <w:vertAlign w:val="superscript"/>
        </w:rPr>
        <w:t>1-7</w:t>
      </w:r>
    </w:p>
    <w:p w14:paraId="78D9AB47" w14:textId="37E3AA65" w:rsidR="007A7A2C" w:rsidRPr="00ED048E" w:rsidRDefault="007A7A2C" w:rsidP="00126D87">
      <w:pPr>
        <w:pStyle w:val="ListParagraph"/>
        <w:keepLines/>
        <w:numPr>
          <w:ilvl w:val="1"/>
          <w:numId w:val="28"/>
        </w:numPr>
      </w:pPr>
      <w:r w:rsidRPr="00ED048E">
        <w:t>Turner syndrome</w:t>
      </w:r>
      <w:r w:rsidRPr="00ED048E">
        <w:rPr>
          <w:vertAlign w:val="superscript"/>
        </w:rPr>
        <w:t>1-</w:t>
      </w:r>
      <w:r w:rsidR="0028005B">
        <w:rPr>
          <w:vertAlign w:val="superscript"/>
        </w:rPr>
        <w:t>5</w:t>
      </w:r>
      <w:r w:rsidRPr="00ED048E">
        <w:rPr>
          <w:vertAlign w:val="superscript"/>
        </w:rPr>
        <w:t>,7</w:t>
      </w:r>
    </w:p>
    <w:p w14:paraId="518CB19C" w14:textId="2BE26320" w:rsidR="007A7A2C" w:rsidRPr="00ED048E" w:rsidRDefault="007A7A2C" w:rsidP="00126D87">
      <w:pPr>
        <w:pStyle w:val="ListParagraph"/>
        <w:keepLines/>
        <w:numPr>
          <w:ilvl w:val="1"/>
          <w:numId w:val="28"/>
        </w:numPr>
      </w:pPr>
      <w:r w:rsidRPr="00ED048E">
        <w:t>Noonan syndrome</w:t>
      </w:r>
      <w:r w:rsidRPr="00ED048E">
        <w:rPr>
          <w:vertAlign w:val="superscript"/>
        </w:rPr>
        <w:t>3</w:t>
      </w:r>
    </w:p>
    <w:p w14:paraId="1D86A064" w14:textId="340CC174" w:rsidR="007A7A2C" w:rsidRPr="00ED048E" w:rsidRDefault="007A7A2C" w:rsidP="00126D87">
      <w:pPr>
        <w:pStyle w:val="ListParagraph"/>
        <w:keepLines/>
        <w:numPr>
          <w:ilvl w:val="1"/>
          <w:numId w:val="28"/>
        </w:numPr>
      </w:pPr>
      <w:r w:rsidRPr="00ED048E">
        <w:t>Small for gestational age (SGA)</w:t>
      </w:r>
      <w:r w:rsidRPr="00ED048E">
        <w:rPr>
          <w:vertAlign w:val="superscript"/>
        </w:rPr>
        <w:t>1-3,</w:t>
      </w:r>
      <w:r w:rsidR="0028005B">
        <w:rPr>
          <w:vertAlign w:val="superscript"/>
        </w:rPr>
        <w:t>5</w:t>
      </w:r>
      <w:r w:rsidRPr="00ED048E">
        <w:rPr>
          <w:vertAlign w:val="superscript"/>
        </w:rPr>
        <w:t>,7</w:t>
      </w:r>
    </w:p>
    <w:p w14:paraId="50C3D353" w14:textId="68665408" w:rsidR="007A7A2C" w:rsidRPr="00ED048E" w:rsidRDefault="007A7A2C" w:rsidP="00126D87">
      <w:pPr>
        <w:pStyle w:val="ListParagraph"/>
        <w:keepLines/>
        <w:numPr>
          <w:ilvl w:val="1"/>
          <w:numId w:val="28"/>
        </w:numPr>
      </w:pPr>
      <w:r w:rsidRPr="00ED048E">
        <w:t>Prader-Willi syndrome</w:t>
      </w:r>
      <w:r w:rsidRPr="00ED048E">
        <w:rPr>
          <w:vertAlign w:val="superscript"/>
        </w:rPr>
        <w:t>1,3</w:t>
      </w:r>
    </w:p>
    <w:p w14:paraId="038EFD6F" w14:textId="7F27E916" w:rsidR="007A7A2C" w:rsidRPr="00ED048E" w:rsidRDefault="007A7A2C" w:rsidP="00126D87">
      <w:pPr>
        <w:pStyle w:val="ListParagraph"/>
        <w:keepLines/>
        <w:numPr>
          <w:ilvl w:val="1"/>
          <w:numId w:val="28"/>
        </w:numPr>
      </w:pPr>
      <w:r w:rsidRPr="00ED048E">
        <w:lastRenderedPageBreak/>
        <w:t>Chronic kidney disease (CKD)</w:t>
      </w:r>
      <w:r w:rsidRPr="00ED048E">
        <w:rPr>
          <w:vertAlign w:val="superscript"/>
        </w:rPr>
        <w:t>4</w:t>
      </w:r>
    </w:p>
    <w:p w14:paraId="1F9D3C7B" w14:textId="38B2AF64" w:rsidR="007A7A2C" w:rsidRPr="00ED048E" w:rsidRDefault="007A7A2C" w:rsidP="00126D87">
      <w:pPr>
        <w:pStyle w:val="ListParagraph"/>
        <w:keepLines/>
        <w:numPr>
          <w:ilvl w:val="1"/>
          <w:numId w:val="28"/>
        </w:numPr>
      </w:pPr>
      <w:r w:rsidRPr="00ED048E">
        <w:t>Short stature homeobox-containing gene (SHOX) deficiency</w:t>
      </w:r>
      <w:r w:rsidRPr="00ED048E">
        <w:rPr>
          <w:vertAlign w:val="superscript"/>
        </w:rPr>
        <w:t>2,</w:t>
      </w:r>
      <w:r w:rsidR="00BD37CC">
        <w:rPr>
          <w:vertAlign w:val="superscript"/>
        </w:rPr>
        <w:t>7</w:t>
      </w:r>
    </w:p>
    <w:p w14:paraId="06F265A0" w14:textId="7F9FFD1D" w:rsidR="007A7A2C" w:rsidRPr="00ED048E" w:rsidRDefault="007A7A2C" w:rsidP="00126D87">
      <w:pPr>
        <w:pStyle w:val="ListParagraph"/>
        <w:keepLines/>
        <w:numPr>
          <w:ilvl w:val="0"/>
          <w:numId w:val="26"/>
        </w:numPr>
      </w:pPr>
      <w:r w:rsidRPr="00ED048E">
        <w:t>Adults with childhood-onset or adult-onset GH deficiency</w:t>
      </w:r>
      <w:r w:rsidRPr="00ED048E">
        <w:rPr>
          <w:vertAlign w:val="superscript"/>
        </w:rPr>
        <w:t>1-7</w:t>
      </w:r>
    </w:p>
    <w:p w14:paraId="0B5EC236" w14:textId="5DA8C21F" w:rsidR="0044763A" w:rsidRPr="00ED048E" w:rsidRDefault="009F2EF1" w:rsidP="00763714">
      <w:pPr>
        <w:pStyle w:val="Heading3"/>
        <w:spacing w:after="80"/>
      </w:pPr>
      <w:r w:rsidRPr="00ED048E">
        <w:t>Compendial Uses</w:t>
      </w:r>
    </w:p>
    <w:p w14:paraId="4DB308C1" w14:textId="74FA6506" w:rsidR="00FC734C" w:rsidRPr="00ED048E" w:rsidRDefault="00FC734C" w:rsidP="00FC734C">
      <w:pPr>
        <w:pStyle w:val="ListParagraph"/>
        <w:numPr>
          <w:ilvl w:val="0"/>
          <w:numId w:val="30"/>
        </w:numPr>
      </w:pPr>
      <w:r w:rsidRPr="00ED048E">
        <w:t>Growth failure associated with any of the following:</w:t>
      </w:r>
    </w:p>
    <w:p w14:paraId="6863C52E" w14:textId="555DADD6" w:rsidR="00FC734C" w:rsidRPr="00ED048E" w:rsidRDefault="00FC734C" w:rsidP="00FC734C">
      <w:pPr>
        <w:pStyle w:val="ListParagraph"/>
        <w:numPr>
          <w:ilvl w:val="1"/>
          <w:numId w:val="32"/>
        </w:numPr>
      </w:pPr>
      <w:r w:rsidRPr="00ED048E">
        <w:t>Cerebral palsy</w:t>
      </w:r>
      <w:r w:rsidR="00BD37CC">
        <w:rPr>
          <w:vertAlign w:val="superscript"/>
        </w:rPr>
        <w:t>8</w:t>
      </w:r>
      <w:r w:rsidRPr="00ED048E">
        <w:rPr>
          <w:vertAlign w:val="superscript"/>
        </w:rPr>
        <w:t>-</w:t>
      </w:r>
      <w:r w:rsidR="00BD37CC">
        <w:rPr>
          <w:vertAlign w:val="superscript"/>
        </w:rPr>
        <w:t>9</w:t>
      </w:r>
    </w:p>
    <w:p w14:paraId="56905338" w14:textId="242AFC00" w:rsidR="00FC734C" w:rsidRPr="00ED048E" w:rsidRDefault="00FC734C" w:rsidP="00FC734C">
      <w:pPr>
        <w:pStyle w:val="ListParagraph"/>
        <w:numPr>
          <w:ilvl w:val="1"/>
          <w:numId w:val="32"/>
        </w:numPr>
      </w:pPr>
      <w:r w:rsidRPr="00ED048E">
        <w:t>Congenital adrenal hyperplasia</w:t>
      </w:r>
      <w:r w:rsidRPr="00ED048E">
        <w:rPr>
          <w:vertAlign w:val="superscript"/>
        </w:rPr>
        <w:t>1</w:t>
      </w:r>
      <w:r w:rsidR="00BD37CC">
        <w:rPr>
          <w:vertAlign w:val="superscript"/>
        </w:rPr>
        <w:t>0</w:t>
      </w:r>
      <w:r w:rsidRPr="00ED048E">
        <w:rPr>
          <w:vertAlign w:val="superscript"/>
        </w:rPr>
        <w:t>-1</w:t>
      </w:r>
      <w:r w:rsidR="00BD37CC">
        <w:rPr>
          <w:vertAlign w:val="superscript"/>
        </w:rPr>
        <w:t>2</w:t>
      </w:r>
      <w:r w:rsidRPr="00ED048E">
        <w:t xml:space="preserve"> </w:t>
      </w:r>
    </w:p>
    <w:p w14:paraId="79D57F8E" w14:textId="6AAFF65D" w:rsidR="00FC734C" w:rsidRPr="00ED048E" w:rsidRDefault="00FC734C" w:rsidP="00FC734C">
      <w:pPr>
        <w:pStyle w:val="ListParagraph"/>
        <w:numPr>
          <w:ilvl w:val="1"/>
          <w:numId w:val="32"/>
        </w:numPr>
      </w:pPr>
      <w:r w:rsidRPr="00ED048E">
        <w:t>Cystic fibrosis</w:t>
      </w:r>
      <w:r w:rsidRPr="00ED048E">
        <w:rPr>
          <w:vertAlign w:val="superscript"/>
        </w:rPr>
        <w:t>13</w:t>
      </w:r>
    </w:p>
    <w:p w14:paraId="13F74B71" w14:textId="05815C05" w:rsidR="00FC734C" w:rsidRPr="00ED048E" w:rsidRDefault="00FC734C" w:rsidP="00FC734C">
      <w:pPr>
        <w:pStyle w:val="ListParagraph"/>
        <w:numPr>
          <w:ilvl w:val="1"/>
          <w:numId w:val="32"/>
        </w:numPr>
      </w:pPr>
      <w:r w:rsidRPr="00ED048E">
        <w:t>Russell-Silver syndrome</w:t>
      </w:r>
      <w:r w:rsidR="00BD37CC">
        <w:rPr>
          <w:vertAlign w:val="superscript"/>
        </w:rPr>
        <w:t>14</w:t>
      </w:r>
      <w:r w:rsidRPr="00ED048E">
        <w:rPr>
          <w:vertAlign w:val="superscript"/>
        </w:rPr>
        <w:t>,</w:t>
      </w:r>
      <w:r w:rsidR="00BD37CC">
        <w:rPr>
          <w:vertAlign w:val="superscript"/>
        </w:rPr>
        <w:t>15</w:t>
      </w:r>
    </w:p>
    <w:p w14:paraId="36FF5EBB" w14:textId="1256C8BD" w:rsidR="00FC734C" w:rsidRPr="00ED048E" w:rsidRDefault="00FC734C" w:rsidP="0084364B">
      <w:pPr>
        <w:pStyle w:val="BodyText"/>
      </w:pPr>
      <w:r w:rsidRPr="00ED048E">
        <w:t>All other indications are considered experimental/investigational and not medically necessary.</w:t>
      </w:r>
    </w:p>
    <w:p w14:paraId="36381B6D" w14:textId="4921D54F" w:rsidR="000D2496" w:rsidRPr="00ED048E" w:rsidRDefault="000D2496" w:rsidP="00763714">
      <w:pPr>
        <w:pStyle w:val="Heading2"/>
        <w:spacing w:before="440"/>
      </w:pPr>
      <w:r w:rsidRPr="00ED048E">
        <w:t>Documentation</w:t>
      </w:r>
    </w:p>
    <w:p w14:paraId="482F1796" w14:textId="4EB3D134" w:rsidR="00FC734C" w:rsidRDefault="00FC734C" w:rsidP="00FC734C">
      <w:pPr>
        <w:pStyle w:val="BodyText"/>
      </w:pPr>
      <w:r w:rsidRPr="00ED048E">
        <w:t>Submission of the following information is necessary to initiate the prior authorization review (where applicable):</w:t>
      </w:r>
    </w:p>
    <w:p w14:paraId="44689237" w14:textId="5B84139B" w:rsidR="005D2D6C" w:rsidRPr="00ED048E" w:rsidRDefault="005D2D6C" w:rsidP="00FC734C">
      <w:pPr>
        <w:pStyle w:val="BodyText"/>
      </w:pPr>
      <w:r>
        <w:t>B</w:t>
      </w:r>
      <w:r w:rsidRPr="00D677AF">
        <w:t>oth initial and continuation of therapy requests</w:t>
      </w:r>
      <w:r>
        <w:t>:</w:t>
      </w:r>
    </w:p>
    <w:p w14:paraId="38B776A4" w14:textId="77777777" w:rsidR="005D2D6C" w:rsidRPr="00ED048E" w:rsidRDefault="005D2D6C" w:rsidP="005D2D6C">
      <w:pPr>
        <w:pStyle w:val="ListParagraph"/>
        <w:numPr>
          <w:ilvl w:val="0"/>
          <w:numId w:val="33"/>
        </w:numPr>
      </w:pPr>
      <w:r w:rsidRPr="00ED048E">
        <w:t>Growth chart</w:t>
      </w:r>
    </w:p>
    <w:p w14:paraId="714F3DDA" w14:textId="76BDAA87" w:rsidR="005D2D6C" w:rsidRPr="00ED048E" w:rsidRDefault="005D2D6C" w:rsidP="005D2D6C">
      <w:pPr>
        <w:pStyle w:val="ListParagraph"/>
        <w:numPr>
          <w:ilvl w:val="0"/>
          <w:numId w:val="33"/>
        </w:numPr>
      </w:pPr>
      <w:r w:rsidRPr="00ED048E">
        <w:t>Pretreatment or current</w:t>
      </w:r>
      <w:r w:rsidR="009A2455">
        <w:t xml:space="preserve"> insulin-like growth factor-1</w:t>
      </w:r>
      <w:r w:rsidRPr="00ED048E">
        <w:t xml:space="preserve"> </w:t>
      </w:r>
      <w:r w:rsidR="009A2455">
        <w:t>(</w:t>
      </w:r>
      <w:r w:rsidRPr="00ED048E">
        <w:t>IGF-1</w:t>
      </w:r>
      <w:r w:rsidR="009A2455">
        <w:t>)</w:t>
      </w:r>
      <w:r w:rsidRPr="00ED048E">
        <w:t xml:space="preserve"> level (laboratory report or medical record documentation)</w:t>
      </w:r>
    </w:p>
    <w:p w14:paraId="1F6408EA" w14:textId="428320B8" w:rsidR="005D2D6C" w:rsidRDefault="005D2D6C" w:rsidP="0056309E">
      <w:r>
        <w:t>Initial requests:</w:t>
      </w:r>
    </w:p>
    <w:p w14:paraId="51A8A61D" w14:textId="74D3E48A" w:rsidR="00FC734C" w:rsidRPr="00ED048E" w:rsidRDefault="005D2D6C" w:rsidP="00FC734C">
      <w:pPr>
        <w:pStyle w:val="ListParagraph"/>
        <w:numPr>
          <w:ilvl w:val="0"/>
          <w:numId w:val="33"/>
        </w:numPr>
      </w:pPr>
      <w:r>
        <w:t>S</w:t>
      </w:r>
      <w:r w:rsidR="00FC734C" w:rsidRPr="00ED048E">
        <w:t>upport</w:t>
      </w:r>
      <w:r w:rsidR="00C64192">
        <w:t xml:space="preserve"> for</w:t>
      </w:r>
      <w:r w:rsidR="00FC734C" w:rsidRPr="00ED048E">
        <w:t xml:space="preserve"> the diagnosis of neonatal GH deficiency</w:t>
      </w:r>
      <w:r w:rsidR="00575C86" w:rsidRPr="00ED048E">
        <w:t xml:space="preserve"> </w:t>
      </w:r>
      <w:r>
        <w:t>(medical documentation, laboratory report, or imaging report)</w:t>
      </w:r>
    </w:p>
    <w:p w14:paraId="4DF99175" w14:textId="4B446C97" w:rsidR="00FC734C" w:rsidRDefault="00FC734C" w:rsidP="00FC734C">
      <w:pPr>
        <w:pStyle w:val="ListParagraph"/>
        <w:numPr>
          <w:ilvl w:val="0"/>
          <w:numId w:val="33"/>
        </w:numPr>
      </w:pPr>
      <w:r w:rsidRPr="00ED048E">
        <w:t>Pretreatment growth hormone provocative test result(s) (laboratory report or medical record documentation)</w:t>
      </w:r>
    </w:p>
    <w:p w14:paraId="076F2BC9" w14:textId="7B8B3CE7" w:rsidR="00FC734C" w:rsidRPr="00ED048E" w:rsidRDefault="005D2D6C" w:rsidP="00260E69">
      <w:pPr>
        <w:pStyle w:val="ListParagraph"/>
        <w:keepNext/>
        <w:keepLines/>
        <w:numPr>
          <w:ilvl w:val="0"/>
          <w:numId w:val="33"/>
        </w:numPr>
      </w:pPr>
      <w:r>
        <w:t>L</w:t>
      </w:r>
      <w:r w:rsidR="00FC734C" w:rsidRPr="00ED048E">
        <w:t xml:space="preserve">aboratory test reports </w:t>
      </w:r>
      <w:r>
        <w:t>of the following</w:t>
      </w:r>
      <w:r w:rsidR="00FC734C" w:rsidRPr="00ED048E">
        <w:t>:</w:t>
      </w:r>
    </w:p>
    <w:p w14:paraId="4EEF6D13" w14:textId="52A44412" w:rsidR="00FC734C" w:rsidRPr="00ED048E" w:rsidRDefault="00FC734C" w:rsidP="00FC734C">
      <w:pPr>
        <w:pStyle w:val="ListParagraph"/>
        <w:numPr>
          <w:ilvl w:val="1"/>
          <w:numId w:val="35"/>
        </w:numPr>
      </w:pPr>
      <w:r w:rsidRPr="00ED048E">
        <w:t>Diagnostic karyotype results in Turner syndrome</w:t>
      </w:r>
    </w:p>
    <w:p w14:paraId="52384E70" w14:textId="27AC5212" w:rsidR="00FC734C" w:rsidRPr="00ED048E" w:rsidRDefault="00FC734C" w:rsidP="00FC734C">
      <w:pPr>
        <w:pStyle w:val="ListParagraph"/>
        <w:numPr>
          <w:ilvl w:val="1"/>
          <w:numId w:val="35"/>
        </w:numPr>
      </w:pPr>
      <w:r w:rsidRPr="00ED048E">
        <w:t>Diagnostic genetic test results in Prader-Willi syndrome</w:t>
      </w:r>
    </w:p>
    <w:p w14:paraId="5526050A" w14:textId="6F1EC100" w:rsidR="00FC734C" w:rsidRPr="00ED048E" w:rsidRDefault="00FC734C" w:rsidP="00FC734C">
      <w:pPr>
        <w:pStyle w:val="ListParagraph"/>
        <w:numPr>
          <w:ilvl w:val="1"/>
          <w:numId w:val="35"/>
        </w:numPr>
      </w:pPr>
      <w:r w:rsidRPr="00ED048E">
        <w:t>Diagnostic molecular or genetic test results in SHOX deficiency</w:t>
      </w:r>
    </w:p>
    <w:p w14:paraId="2E9C2F1E" w14:textId="18D5429A" w:rsidR="00FC734C" w:rsidRPr="00ED048E" w:rsidRDefault="005D2D6C" w:rsidP="0056309E">
      <w:r>
        <w:t>C</w:t>
      </w:r>
      <w:r w:rsidR="00FC734C" w:rsidRPr="00ED048E">
        <w:t>ontinuation of therapy requests:</w:t>
      </w:r>
    </w:p>
    <w:p w14:paraId="38C86D9D" w14:textId="0D1F38F5" w:rsidR="00FC734C" w:rsidRPr="00ED048E" w:rsidRDefault="00FC734C" w:rsidP="0056309E">
      <w:pPr>
        <w:pStyle w:val="ListParagraph"/>
        <w:keepNext/>
        <w:keepLines/>
        <w:numPr>
          <w:ilvl w:val="0"/>
          <w:numId w:val="33"/>
        </w:numPr>
      </w:pPr>
      <w:r w:rsidRPr="00ED048E">
        <w:t>Total duration of treatment (approximate duration is acceptable)</w:t>
      </w:r>
    </w:p>
    <w:p w14:paraId="7C21E018" w14:textId="3521969B" w:rsidR="00FC734C" w:rsidRPr="00ED048E" w:rsidRDefault="00FC734C" w:rsidP="0056309E">
      <w:pPr>
        <w:pStyle w:val="ListParagraph"/>
        <w:keepNext/>
        <w:keepLines/>
        <w:numPr>
          <w:ilvl w:val="0"/>
          <w:numId w:val="33"/>
        </w:numPr>
      </w:pPr>
      <w:r w:rsidRPr="00ED048E">
        <w:t>Date of last dose administered</w:t>
      </w:r>
    </w:p>
    <w:p w14:paraId="3A9F0489" w14:textId="2F2E2D57" w:rsidR="00FC734C" w:rsidRPr="00ED048E" w:rsidRDefault="00FC734C" w:rsidP="0056309E">
      <w:pPr>
        <w:pStyle w:val="ListParagraph"/>
        <w:keepNext/>
        <w:keepLines/>
        <w:numPr>
          <w:ilvl w:val="0"/>
          <w:numId w:val="33"/>
        </w:numPr>
      </w:pPr>
      <w:r w:rsidRPr="00ED048E">
        <w:t>Approving health plan/pharmacy benefit manager</w:t>
      </w:r>
    </w:p>
    <w:p w14:paraId="017DD384" w14:textId="6A5C41BB" w:rsidR="00FC734C" w:rsidRPr="00ED048E" w:rsidRDefault="00FC734C" w:rsidP="0056309E">
      <w:pPr>
        <w:pStyle w:val="ListParagraph"/>
        <w:keepNext/>
        <w:keepLines/>
        <w:numPr>
          <w:ilvl w:val="0"/>
          <w:numId w:val="33"/>
        </w:numPr>
      </w:pPr>
      <w:r w:rsidRPr="00ED048E">
        <w:t>Date of prior authorization/approval</w:t>
      </w:r>
    </w:p>
    <w:p w14:paraId="4405DB6C" w14:textId="7CC0C486" w:rsidR="00FC734C" w:rsidRPr="00ED048E" w:rsidRDefault="00FC734C" w:rsidP="0056309E">
      <w:pPr>
        <w:pStyle w:val="ListParagraph"/>
        <w:keepNext/>
        <w:keepLines/>
        <w:numPr>
          <w:ilvl w:val="0"/>
          <w:numId w:val="33"/>
        </w:numPr>
      </w:pPr>
      <w:r w:rsidRPr="00ED048E">
        <w:t>Prior authorization approval letter</w:t>
      </w:r>
    </w:p>
    <w:p w14:paraId="23BB5A99" w14:textId="5801E94C" w:rsidR="00FC734C" w:rsidRPr="00ED048E" w:rsidRDefault="00FC734C" w:rsidP="00690AE8">
      <w:pPr>
        <w:pStyle w:val="BodyText"/>
        <w:spacing w:after="0"/>
      </w:pPr>
      <w:r w:rsidRPr="00ED048E">
        <w:t>IGF-1 levels vary based on the laboratory performing the analysis. Laboratory-specific values must be provided to determine whether the value is within the normal range.</w:t>
      </w:r>
    </w:p>
    <w:p w14:paraId="7DDAC4FC" w14:textId="7DB0A997" w:rsidR="00016A2E" w:rsidRPr="00ED048E" w:rsidRDefault="005A3FAF" w:rsidP="006B6649">
      <w:pPr>
        <w:pStyle w:val="Heading2"/>
        <w:keepNext w:val="0"/>
        <w:tabs>
          <w:tab w:val="left" w:pos="10020"/>
        </w:tabs>
        <w:spacing w:before="440" w:after="80"/>
        <w:rPr>
          <w:rFonts w:eastAsia="Arial"/>
        </w:rPr>
      </w:pPr>
      <w:r w:rsidRPr="00ED048E">
        <w:lastRenderedPageBreak/>
        <w:t>Coverage Criteria</w:t>
      </w:r>
    </w:p>
    <w:p w14:paraId="7C12CD6E" w14:textId="2D2E4A02" w:rsidR="00FC734C" w:rsidRPr="00ED048E" w:rsidRDefault="00FC734C" w:rsidP="00763714">
      <w:pPr>
        <w:pStyle w:val="Heading3"/>
        <w:keepNext w:val="0"/>
      </w:pPr>
      <w:r w:rsidRPr="00ED048E">
        <w:t>Pediatric Growth Hormone (GH) Deficiency</w:t>
      </w:r>
      <w:r w:rsidRPr="00ED048E">
        <w:rPr>
          <w:vertAlign w:val="superscript"/>
        </w:rPr>
        <w:t>1-7,</w:t>
      </w:r>
      <w:r w:rsidR="00BD37CC">
        <w:rPr>
          <w:vertAlign w:val="superscript"/>
        </w:rPr>
        <w:t>16</w:t>
      </w:r>
      <w:r w:rsidRPr="00ED048E">
        <w:rPr>
          <w:vertAlign w:val="superscript"/>
        </w:rPr>
        <w:t>-2</w:t>
      </w:r>
      <w:r w:rsidR="00BD37CC">
        <w:rPr>
          <w:vertAlign w:val="superscript"/>
        </w:rPr>
        <w:t>0</w:t>
      </w:r>
    </w:p>
    <w:p w14:paraId="786000D9" w14:textId="3C7261DB" w:rsidR="00FC734C" w:rsidRPr="00ED048E" w:rsidRDefault="00FC734C" w:rsidP="00690AE8">
      <w:pPr>
        <w:pStyle w:val="BodyText"/>
        <w:keepLines/>
      </w:pPr>
      <w:r w:rsidRPr="00ED048E">
        <w:t xml:space="preserve">Authorization of 12 months may be granted to members with pediatric growth hormone (GH) deficiency when EITHER </w:t>
      </w:r>
      <w:r w:rsidR="006F0498">
        <w:t xml:space="preserve">of the following </w:t>
      </w:r>
      <w:r w:rsidRPr="00ED048E">
        <w:t>criteria is met:</w:t>
      </w:r>
    </w:p>
    <w:p w14:paraId="160D89D5" w14:textId="3C4E4DF4" w:rsidR="00FC734C" w:rsidRPr="00ED048E" w:rsidRDefault="00FC734C" w:rsidP="00143269">
      <w:pPr>
        <w:pStyle w:val="ListParagraph"/>
        <w:numPr>
          <w:ilvl w:val="0"/>
          <w:numId w:val="33"/>
        </w:numPr>
      </w:pPr>
      <w:r w:rsidRPr="00ED048E">
        <w:t xml:space="preserve">Member is a neonate or </w:t>
      </w:r>
      <w:r w:rsidR="002375BA">
        <w:t xml:space="preserve">has a </w:t>
      </w:r>
      <w:r w:rsidRPr="00ED048E">
        <w:t>diagnos</w:t>
      </w:r>
      <w:r w:rsidR="002375BA">
        <w:t>is</w:t>
      </w:r>
      <w:r w:rsidRPr="00ED048E">
        <w:t xml:space="preserve"> </w:t>
      </w:r>
      <w:r w:rsidR="002375BA">
        <w:t>of</w:t>
      </w:r>
      <w:r w:rsidRPr="00ED048E">
        <w:t xml:space="preserve"> GH deficiency as a neonate (e.g., hypoglycemia with random GH level, evidence of multiple pituitary hormone deficiency, magnetic resonance imaging [MRI] results).</w:t>
      </w:r>
      <w:r w:rsidR="00BD37CC">
        <w:rPr>
          <w:vertAlign w:val="superscript"/>
        </w:rPr>
        <w:t>16</w:t>
      </w:r>
    </w:p>
    <w:p w14:paraId="206D73BE" w14:textId="5FC92C91" w:rsidR="00FC734C" w:rsidRPr="00ED048E" w:rsidRDefault="00FC734C" w:rsidP="00143269">
      <w:pPr>
        <w:pStyle w:val="ListParagraph"/>
        <w:numPr>
          <w:ilvl w:val="0"/>
          <w:numId w:val="33"/>
        </w:numPr>
      </w:pPr>
      <w:r w:rsidRPr="00ED048E">
        <w:t xml:space="preserve">Member meets </w:t>
      </w:r>
      <w:proofErr w:type="gramStart"/>
      <w:r w:rsidRPr="00ED048E">
        <w:t>ALL of</w:t>
      </w:r>
      <w:proofErr w:type="gramEnd"/>
      <w:r w:rsidRPr="00ED048E">
        <w:t xml:space="preserve"> the following</w:t>
      </w:r>
      <w:r w:rsidR="002375BA">
        <w:t xml:space="preserve"> criteria</w:t>
      </w:r>
      <w:r w:rsidRPr="00ED048E">
        <w:t>:</w:t>
      </w:r>
    </w:p>
    <w:p w14:paraId="21FDFED1" w14:textId="17162478" w:rsidR="00FC734C" w:rsidRPr="00ED048E" w:rsidRDefault="00FC734C" w:rsidP="00143269">
      <w:pPr>
        <w:pStyle w:val="ListParagraph"/>
        <w:numPr>
          <w:ilvl w:val="1"/>
          <w:numId w:val="33"/>
        </w:numPr>
      </w:pPr>
      <w:r w:rsidRPr="00ED048E">
        <w:t xml:space="preserve">Member has </w:t>
      </w:r>
      <w:r w:rsidR="00EE4BA1">
        <w:t>either</w:t>
      </w:r>
      <w:r w:rsidR="002375BA">
        <w:t xml:space="preserve"> of the following</w:t>
      </w:r>
      <w:r w:rsidRPr="00ED048E">
        <w:t>:</w:t>
      </w:r>
    </w:p>
    <w:p w14:paraId="282553A5" w14:textId="7C07B748" w:rsidR="00FC734C" w:rsidRPr="00ED048E" w:rsidRDefault="00FC734C" w:rsidP="00143269">
      <w:pPr>
        <w:pStyle w:val="ListParagraph"/>
        <w:numPr>
          <w:ilvl w:val="2"/>
          <w:numId w:val="181"/>
        </w:numPr>
        <w:ind w:left="2160"/>
      </w:pPr>
      <w:r w:rsidRPr="00ED048E">
        <w:t>Two pretreatment pharmacologic provocative GH tests with both results demonstrating a peak GH level &lt; 10 ng/mL</w:t>
      </w:r>
      <w:r w:rsidR="00BD37CC">
        <w:rPr>
          <w:vertAlign w:val="superscript"/>
        </w:rPr>
        <w:t>16</w:t>
      </w:r>
      <w:r w:rsidRPr="00ED048E">
        <w:rPr>
          <w:vertAlign w:val="superscript"/>
        </w:rPr>
        <w:t>,</w:t>
      </w:r>
      <w:r w:rsidR="00BD37CC">
        <w:rPr>
          <w:vertAlign w:val="superscript"/>
        </w:rPr>
        <w:t>19</w:t>
      </w:r>
    </w:p>
    <w:p w14:paraId="3B06B1DD" w14:textId="2DE530C3" w:rsidR="00FC734C" w:rsidRPr="00ED048E" w:rsidRDefault="00FC734C" w:rsidP="00143269">
      <w:pPr>
        <w:pStyle w:val="ListParagraph"/>
        <w:numPr>
          <w:ilvl w:val="2"/>
          <w:numId w:val="181"/>
        </w:numPr>
        <w:ind w:left="2160"/>
      </w:pPr>
      <w:r w:rsidRPr="00ED048E">
        <w:t xml:space="preserve">A documented pituitary or </w:t>
      </w:r>
      <w:r w:rsidR="002375BA">
        <w:t>central nervous system (</w:t>
      </w:r>
      <w:r w:rsidRPr="00ED048E">
        <w:t>CNS</w:t>
      </w:r>
      <w:r w:rsidR="002375BA">
        <w:t>)</w:t>
      </w:r>
      <w:r w:rsidRPr="00ED048E">
        <w:t xml:space="preserve"> disorder (</w:t>
      </w:r>
      <w:r w:rsidR="002375BA">
        <w:t>see</w:t>
      </w:r>
      <w:r w:rsidRPr="00ED048E">
        <w:t xml:space="preserve"> Appendix A) and a pretreatment IGF-1 level &gt; 2 standard deviations (SD) below the mean</w:t>
      </w:r>
      <w:r w:rsidR="00BD37CC">
        <w:rPr>
          <w:vertAlign w:val="superscript"/>
        </w:rPr>
        <w:t>16</w:t>
      </w:r>
      <w:r w:rsidRPr="00ED048E">
        <w:rPr>
          <w:vertAlign w:val="superscript"/>
        </w:rPr>
        <w:t>,</w:t>
      </w:r>
      <w:r w:rsidR="00BD37CC">
        <w:rPr>
          <w:vertAlign w:val="superscript"/>
        </w:rPr>
        <w:t>18</w:t>
      </w:r>
    </w:p>
    <w:p w14:paraId="0AE24BB9" w14:textId="6E9DA648" w:rsidR="00FC734C" w:rsidRPr="00ED048E" w:rsidRDefault="00FC734C" w:rsidP="00143269">
      <w:pPr>
        <w:pStyle w:val="ListParagraph"/>
        <w:numPr>
          <w:ilvl w:val="1"/>
          <w:numId w:val="33"/>
        </w:numPr>
      </w:pPr>
      <w:r w:rsidRPr="00ED048E">
        <w:t>For members &lt; 2.5 years of age at initiation of treatment, the pretreatment height is &gt; 2 SD below the mean and growth velocity is slow</w:t>
      </w:r>
      <w:r w:rsidR="00BD37CC">
        <w:rPr>
          <w:vertAlign w:val="superscript"/>
        </w:rPr>
        <w:t>16</w:t>
      </w:r>
    </w:p>
    <w:p w14:paraId="267FA2EB" w14:textId="52459F0B" w:rsidR="00FC734C" w:rsidRPr="00ED048E" w:rsidRDefault="00FC734C" w:rsidP="00143269">
      <w:pPr>
        <w:pStyle w:val="ListParagraph"/>
        <w:numPr>
          <w:ilvl w:val="1"/>
          <w:numId w:val="33"/>
        </w:numPr>
      </w:pPr>
      <w:r w:rsidRPr="00ED048E">
        <w:t xml:space="preserve">For members </w:t>
      </w:r>
      <w:r w:rsidRPr="00ED048E">
        <w:rPr>
          <w:rFonts w:ascii="Arial" w:hAnsi="Arial"/>
        </w:rPr>
        <w:t>≥</w:t>
      </w:r>
      <w:r w:rsidRPr="00ED048E">
        <w:t xml:space="preserve"> 2.5 years of age at initiation of treatment</w:t>
      </w:r>
      <w:r w:rsidR="002375BA">
        <w:t>, member has either of the following:</w:t>
      </w:r>
    </w:p>
    <w:p w14:paraId="0999D961" w14:textId="51BF1777" w:rsidR="00FC734C" w:rsidRPr="00ED048E" w:rsidRDefault="00FC734C" w:rsidP="00143269">
      <w:pPr>
        <w:pStyle w:val="ListParagraph"/>
        <w:numPr>
          <w:ilvl w:val="2"/>
          <w:numId w:val="189"/>
        </w:numPr>
        <w:ind w:left="2160"/>
      </w:pPr>
      <w:r w:rsidRPr="00ED048E">
        <w:t>Pretreatment height is &gt; 2 SD below the mean and 1-year height velocity is &gt; 1 SD below the mean</w:t>
      </w:r>
      <w:r w:rsidR="00BD37CC">
        <w:rPr>
          <w:vertAlign w:val="superscript"/>
        </w:rPr>
        <w:t>16</w:t>
      </w:r>
    </w:p>
    <w:p w14:paraId="6E352711" w14:textId="72B6DDBB" w:rsidR="00FC734C" w:rsidRPr="00ED048E" w:rsidRDefault="00FC734C" w:rsidP="00143269">
      <w:pPr>
        <w:pStyle w:val="ListParagraph"/>
        <w:numPr>
          <w:ilvl w:val="2"/>
          <w:numId w:val="189"/>
        </w:numPr>
        <w:ind w:left="2160"/>
      </w:pPr>
      <w:r w:rsidRPr="00ED048E">
        <w:t>Pretreatment 1-year height velocity is &gt; 2 SD below the mean</w:t>
      </w:r>
      <w:r w:rsidR="00BD37CC" w:rsidRPr="0056309E">
        <w:rPr>
          <w:vertAlign w:val="superscript"/>
        </w:rPr>
        <w:t>16</w:t>
      </w:r>
    </w:p>
    <w:p w14:paraId="1A807379" w14:textId="01F38D92" w:rsidR="00FC734C" w:rsidRPr="00ED048E" w:rsidRDefault="00FC734C" w:rsidP="00143269">
      <w:pPr>
        <w:pStyle w:val="ListParagraph"/>
        <w:numPr>
          <w:ilvl w:val="1"/>
          <w:numId w:val="33"/>
        </w:numPr>
      </w:pPr>
      <w:r w:rsidRPr="00ED048E">
        <w:t>Epiphyses are open</w:t>
      </w:r>
      <w:r w:rsidRPr="00ED048E">
        <w:rPr>
          <w:vertAlign w:val="superscript"/>
        </w:rPr>
        <w:t>1</w:t>
      </w:r>
      <w:r w:rsidR="00BD37CC">
        <w:rPr>
          <w:vertAlign w:val="superscript"/>
        </w:rPr>
        <w:t>6</w:t>
      </w:r>
    </w:p>
    <w:p w14:paraId="4CDAB5D5" w14:textId="2A6EB5B9" w:rsidR="00FC734C" w:rsidRPr="00ED048E" w:rsidRDefault="00FC734C" w:rsidP="00C21EFF">
      <w:pPr>
        <w:pStyle w:val="Heading3"/>
      </w:pPr>
      <w:r w:rsidRPr="00ED048E">
        <w:t>Small for Gestational Age (SGA)</w:t>
      </w:r>
      <w:r w:rsidRPr="00F03DEC">
        <w:rPr>
          <w:vertAlign w:val="superscript"/>
        </w:rPr>
        <w:t>1-3,</w:t>
      </w:r>
      <w:r w:rsidR="00BD37CC">
        <w:rPr>
          <w:vertAlign w:val="superscript"/>
        </w:rPr>
        <w:t>5</w:t>
      </w:r>
      <w:r w:rsidRPr="00F03DEC">
        <w:rPr>
          <w:vertAlign w:val="superscript"/>
        </w:rPr>
        <w:t>,7,</w:t>
      </w:r>
      <w:r w:rsidR="00BD37CC">
        <w:rPr>
          <w:vertAlign w:val="superscript"/>
        </w:rPr>
        <w:t>16</w:t>
      </w:r>
      <w:r w:rsidRPr="00F03DEC">
        <w:rPr>
          <w:vertAlign w:val="superscript"/>
        </w:rPr>
        <w:t>,</w:t>
      </w:r>
      <w:r w:rsidR="00BD37CC">
        <w:rPr>
          <w:vertAlign w:val="superscript"/>
        </w:rPr>
        <w:t>17</w:t>
      </w:r>
    </w:p>
    <w:p w14:paraId="7D7E9427" w14:textId="77777777" w:rsidR="00FC734C" w:rsidRPr="00ED048E" w:rsidRDefault="00FC734C" w:rsidP="001E77D9">
      <w:pPr>
        <w:pStyle w:val="BodyText"/>
      </w:pPr>
      <w:r w:rsidRPr="00ED048E">
        <w:t xml:space="preserve">Authorization of 12 months may be granted to members born small for gestational age (SGA) when </w:t>
      </w:r>
      <w:proofErr w:type="gramStart"/>
      <w:r w:rsidRPr="00ED048E">
        <w:t>ALL of</w:t>
      </w:r>
      <w:proofErr w:type="gramEnd"/>
      <w:r w:rsidRPr="00ED048E">
        <w:t xml:space="preserve"> the following criteria are met:</w:t>
      </w:r>
    </w:p>
    <w:p w14:paraId="7C068BF5" w14:textId="26CC5046" w:rsidR="00FC734C" w:rsidRPr="00ED048E" w:rsidRDefault="00FC734C" w:rsidP="00227C94">
      <w:pPr>
        <w:pStyle w:val="ListParagraph"/>
        <w:numPr>
          <w:ilvl w:val="0"/>
          <w:numId w:val="111"/>
        </w:numPr>
      </w:pPr>
      <w:r w:rsidRPr="00ED048E">
        <w:t>Member meets at least one of the following:</w:t>
      </w:r>
    </w:p>
    <w:p w14:paraId="22343682" w14:textId="160003F9" w:rsidR="00FC734C" w:rsidRPr="00ED048E" w:rsidRDefault="00FC734C" w:rsidP="001E77D9">
      <w:pPr>
        <w:pStyle w:val="ListParagraph"/>
        <w:numPr>
          <w:ilvl w:val="1"/>
          <w:numId w:val="180"/>
        </w:numPr>
      </w:pPr>
      <w:r w:rsidRPr="00ED048E">
        <w:t>Birth weight &lt; 2500 g at gestational age &gt; 37 weeks</w:t>
      </w:r>
      <w:r w:rsidR="00BD37CC" w:rsidRPr="0056309E">
        <w:rPr>
          <w:vertAlign w:val="superscript"/>
        </w:rPr>
        <w:t>16</w:t>
      </w:r>
    </w:p>
    <w:p w14:paraId="481BE07C" w14:textId="74E3A7D7" w:rsidR="00FC734C" w:rsidRPr="00ED048E" w:rsidRDefault="00FC734C" w:rsidP="001E77D9">
      <w:pPr>
        <w:pStyle w:val="ListParagraph"/>
        <w:numPr>
          <w:ilvl w:val="1"/>
          <w:numId w:val="180"/>
        </w:numPr>
      </w:pPr>
      <w:r w:rsidRPr="00ED048E">
        <w:t>Birth weight or length less than 3rd percentile for gestational age</w:t>
      </w:r>
      <w:r w:rsidR="00BD37CC">
        <w:rPr>
          <w:vertAlign w:val="superscript"/>
        </w:rPr>
        <w:t>16</w:t>
      </w:r>
    </w:p>
    <w:p w14:paraId="707FC4EB" w14:textId="5CAAE5A1" w:rsidR="00FC734C" w:rsidRPr="00ED048E" w:rsidRDefault="00FC734C" w:rsidP="001E77D9">
      <w:pPr>
        <w:pStyle w:val="ListParagraph"/>
        <w:numPr>
          <w:ilvl w:val="1"/>
          <w:numId w:val="180"/>
        </w:numPr>
      </w:pPr>
      <w:r w:rsidRPr="00ED048E">
        <w:t xml:space="preserve">Birth weight or length </w:t>
      </w:r>
      <w:r w:rsidRPr="00ED048E">
        <w:rPr>
          <w:rFonts w:ascii="Arial" w:hAnsi="Arial"/>
        </w:rPr>
        <w:t>≥</w:t>
      </w:r>
      <w:r w:rsidRPr="00ED048E">
        <w:t xml:space="preserve"> 2 SD below the mean for gestational age</w:t>
      </w:r>
      <w:r w:rsidR="00BD37CC">
        <w:rPr>
          <w:vertAlign w:val="superscript"/>
        </w:rPr>
        <w:t>17</w:t>
      </w:r>
    </w:p>
    <w:p w14:paraId="70B25D56" w14:textId="23383B84" w:rsidR="00FC734C" w:rsidRPr="00ED048E" w:rsidRDefault="00FC734C" w:rsidP="00227C94">
      <w:pPr>
        <w:pStyle w:val="ListParagraph"/>
        <w:numPr>
          <w:ilvl w:val="0"/>
          <w:numId w:val="111"/>
        </w:numPr>
      </w:pPr>
      <w:r w:rsidRPr="00ED048E">
        <w:t xml:space="preserve">Pretreatment age is </w:t>
      </w:r>
      <w:r w:rsidRPr="00ED048E">
        <w:rPr>
          <w:rFonts w:ascii="Arial" w:hAnsi="Arial"/>
        </w:rPr>
        <w:t>≥</w:t>
      </w:r>
      <w:r w:rsidRPr="00ED048E">
        <w:t xml:space="preserve"> 2 years</w:t>
      </w:r>
    </w:p>
    <w:p w14:paraId="05B390BA" w14:textId="323EF8CC" w:rsidR="00FC734C" w:rsidRPr="00ED048E" w:rsidRDefault="00FC734C" w:rsidP="00227C94">
      <w:pPr>
        <w:pStyle w:val="ListParagraph"/>
        <w:numPr>
          <w:ilvl w:val="0"/>
          <w:numId w:val="111"/>
        </w:numPr>
      </w:pPr>
      <w:r w:rsidRPr="00ED048E">
        <w:t>Member failed to manifest catch-up growth by age 2 (i.e., pretreatment height &gt; 2 SD below the mean)</w:t>
      </w:r>
    </w:p>
    <w:p w14:paraId="7782F0B4" w14:textId="3F4FEB41" w:rsidR="00FC734C" w:rsidRPr="00ED048E" w:rsidRDefault="00FC734C" w:rsidP="00227C94">
      <w:pPr>
        <w:pStyle w:val="ListParagraph"/>
        <w:numPr>
          <w:ilvl w:val="0"/>
          <w:numId w:val="111"/>
        </w:numPr>
      </w:pPr>
      <w:r w:rsidRPr="00ED048E">
        <w:t>Epiphyses are open</w:t>
      </w:r>
    </w:p>
    <w:p w14:paraId="755928B1" w14:textId="7BC807B1" w:rsidR="00FC734C" w:rsidRPr="00ED048E" w:rsidRDefault="00FC734C" w:rsidP="00C21EFF">
      <w:pPr>
        <w:pStyle w:val="Heading3"/>
      </w:pPr>
      <w:r w:rsidRPr="00ED048E">
        <w:t>Turner Syndrome</w:t>
      </w:r>
      <w:r w:rsidRPr="00ED048E">
        <w:rPr>
          <w:vertAlign w:val="superscript"/>
        </w:rPr>
        <w:t>1-</w:t>
      </w:r>
      <w:r w:rsidR="00BD37CC">
        <w:rPr>
          <w:vertAlign w:val="superscript"/>
        </w:rPr>
        <w:t>5</w:t>
      </w:r>
      <w:r w:rsidRPr="00ED048E">
        <w:rPr>
          <w:vertAlign w:val="superscript"/>
        </w:rPr>
        <w:t>,7,</w:t>
      </w:r>
      <w:r w:rsidR="00BD37CC">
        <w:rPr>
          <w:vertAlign w:val="superscript"/>
        </w:rPr>
        <w:t>16</w:t>
      </w:r>
    </w:p>
    <w:p w14:paraId="787AFF84" w14:textId="7800EE35" w:rsidR="00FC734C" w:rsidRPr="00ED048E" w:rsidRDefault="00FC734C" w:rsidP="00C21EFF">
      <w:pPr>
        <w:pStyle w:val="BodyText"/>
      </w:pPr>
      <w:r w:rsidRPr="00ED048E">
        <w:t xml:space="preserve">Authorization of 12 months may be granted to members with Turner syndrome when </w:t>
      </w:r>
      <w:proofErr w:type="gramStart"/>
      <w:r w:rsidRPr="00ED048E">
        <w:t>ALL of</w:t>
      </w:r>
      <w:proofErr w:type="gramEnd"/>
      <w:r w:rsidRPr="00ED048E">
        <w:t xml:space="preserve"> the following criteria are met:</w:t>
      </w:r>
    </w:p>
    <w:p w14:paraId="21A9567A" w14:textId="56BF600A" w:rsidR="00FC734C" w:rsidRPr="00ED048E" w:rsidRDefault="00FC734C" w:rsidP="00C21EFF">
      <w:pPr>
        <w:pStyle w:val="ListParagraph"/>
        <w:numPr>
          <w:ilvl w:val="0"/>
          <w:numId w:val="179"/>
        </w:numPr>
      </w:pPr>
      <w:r w:rsidRPr="00ED048E">
        <w:lastRenderedPageBreak/>
        <w:t>Diagnosis was confirmed by karyotyping</w:t>
      </w:r>
    </w:p>
    <w:p w14:paraId="786752F8" w14:textId="65AAF6AD" w:rsidR="00FC734C" w:rsidRPr="00ED048E" w:rsidRDefault="00FC734C" w:rsidP="00C21EFF">
      <w:pPr>
        <w:pStyle w:val="ListParagraph"/>
        <w:numPr>
          <w:ilvl w:val="0"/>
          <w:numId w:val="179"/>
        </w:numPr>
      </w:pPr>
      <w:r w:rsidRPr="00ED048E">
        <w:t>Patient’s pretreatment height is less than the 5</w:t>
      </w:r>
      <w:r w:rsidRPr="00ED048E">
        <w:rPr>
          <w:vertAlign w:val="superscript"/>
        </w:rPr>
        <w:t>th</w:t>
      </w:r>
      <w:r w:rsidRPr="00ED048E">
        <w:t xml:space="preserve"> percentile for age</w:t>
      </w:r>
    </w:p>
    <w:p w14:paraId="6C2B8575" w14:textId="6AC6408F" w:rsidR="00FC734C" w:rsidRPr="00ED048E" w:rsidRDefault="00FC734C" w:rsidP="00C21EFF">
      <w:pPr>
        <w:pStyle w:val="ListParagraph"/>
        <w:numPr>
          <w:ilvl w:val="0"/>
          <w:numId w:val="179"/>
        </w:numPr>
      </w:pPr>
      <w:r w:rsidRPr="00ED048E">
        <w:t>Epiphyses are open</w:t>
      </w:r>
    </w:p>
    <w:p w14:paraId="5CABC074" w14:textId="06248EB1" w:rsidR="00FC734C" w:rsidRPr="00ED048E" w:rsidRDefault="00FC734C" w:rsidP="00C21EFF">
      <w:pPr>
        <w:pStyle w:val="Heading3"/>
      </w:pPr>
      <w:r w:rsidRPr="00ED048E">
        <w:t>Growth Failure Associated with Chronic Kidney Disease (CKD), Cerebral Palsy, Congenital Adrenal Hyperplasia, Cystic Fibrosis, or Russell-Silver Syndrome</w:t>
      </w:r>
      <w:r w:rsidRPr="00ED048E">
        <w:rPr>
          <w:vertAlign w:val="superscript"/>
        </w:rPr>
        <w:t>4,8-</w:t>
      </w:r>
      <w:r w:rsidR="002C4BE3">
        <w:rPr>
          <w:vertAlign w:val="superscript"/>
        </w:rPr>
        <w:t>15</w:t>
      </w:r>
      <w:r w:rsidRPr="00ED048E">
        <w:rPr>
          <w:vertAlign w:val="superscript"/>
        </w:rPr>
        <w:t>,</w:t>
      </w:r>
      <w:r w:rsidR="002C4BE3">
        <w:rPr>
          <w:vertAlign w:val="superscript"/>
        </w:rPr>
        <w:t>19</w:t>
      </w:r>
    </w:p>
    <w:p w14:paraId="44031229" w14:textId="77777777" w:rsidR="00FC734C" w:rsidRPr="00ED048E" w:rsidRDefault="00FC734C" w:rsidP="00C21EFF">
      <w:pPr>
        <w:pStyle w:val="BodyText"/>
      </w:pPr>
      <w:r w:rsidRPr="00ED048E">
        <w:t xml:space="preserve">Authorization of 12 months may be granted to members with chronic kidney disease (CKD), cerebral palsy, congenital adrenal hyperplasia, cystic fibrosis, or Russell-Silver syndrome when </w:t>
      </w:r>
      <w:proofErr w:type="gramStart"/>
      <w:r w:rsidRPr="00ED048E">
        <w:t>ALL of</w:t>
      </w:r>
      <w:proofErr w:type="gramEnd"/>
      <w:r w:rsidRPr="00ED048E">
        <w:t xml:space="preserve"> the following criteria are met:</w:t>
      </w:r>
    </w:p>
    <w:p w14:paraId="44DC7793" w14:textId="0B55E362" w:rsidR="00FC734C" w:rsidRPr="00ED048E" w:rsidRDefault="00FC734C" w:rsidP="00C21EFF">
      <w:pPr>
        <w:pStyle w:val="ListParagraph"/>
        <w:numPr>
          <w:ilvl w:val="0"/>
          <w:numId w:val="176"/>
        </w:numPr>
      </w:pPr>
      <w:r w:rsidRPr="00ED048E">
        <w:t>For members &lt; 2.5 years of age at initiation of treatment, the pretreatment height is &gt; 2 SD below the mean and growth velocity is slow</w:t>
      </w:r>
    </w:p>
    <w:p w14:paraId="58E42395" w14:textId="7900E59D" w:rsidR="00FC734C" w:rsidRPr="00ED048E" w:rsidRDefault="00FC734C" w:rsidP="00C21EFF">
      <w:pPr>
        <w:pStyle w:val="ListParagraph"/>
        <w:numPr>
          <w:ilvl w:val="0"/>
          <w:numId w:val="176"/>
        </w:numPr>
      </w:pPr>
      <w:r w:rsidRPr="00ED048E">
        <w:t xml:space="preserve">For members </w:t>
      </w:r>
      <w:r w:rsidRPr="00ED048E">
        <w:rPr>
          <w:rFonts w:ascii="Arial" w:hAnsi="Arial"/>
        </w:rPr>
        <w:t>≥</w:t>
      </w:r>
      <w:r w:rsidRPr="00ED048E">
        <w:t xml:space="preserve"> 2.5 years of age at initiation of treatment:</w:t>
      </w:r>
    </w:p>
    <w:p w14:paraId="4335FB85" w14:textId="07F55D38" w:rsidR="00FC734C" w:rsidRPr="00ED048E" w:rsidRDefault="00FC734C" w:rsidP="00C21EFF">
      <w:pPr>
        <w:pStyle w:val="ListParagraph"/>
        <w:numPr>
          <w:ilvl w:val="1"/>
          <w:numId w:val="177"/>
        </w:numPr>
      </w:pPr>
      <w:r w:rsidRPr="00ED048E">
        <w:t>Pretreatment height is &gt; 2 SD below the mean and 1-year height velocity is &gt; 1 SD below the mean</w:t>
      </w:r>
    </w:p>
    <w:p w14:paraId="08FF08D8" w14:textId="3275AF06" w:rsidR="00FC734C" w:rsidRPr="00ED048E" w:rsidRDefault="00FC734C" w:rsidP="00C21EFF">
      <w:pPr>
        <w:pStyle w:val="ListParagraph"/>
        <w:numPr>
          <w:ilvl w:val="1"/>
          <w:numId w:val="177"/>
        </w:numPr>
      </w:pPr>
      <w:r w:rsidRPr="00ED048E">
        <w:t>Pretreatment 1-year height velocity is &gt; 2 SD below the mean</w:t>
      </w:r>
    </w:p>
    <w:p w14:paraId="7A3EC179" w14:textId="67C83DBD" w:rsidR="00FC734C" w:rsidRPr="00ED048E" w:rsidRDefault="00FC734C" w:rsidP="00C21EFF">
      <w:pPr>
        <w:pStyle w:val="ListParagraph"/>
        <w:numPr>
          <w:ilvl w:val="0"/>
          <w:numId w:val="176"/>
        </w:numPr>
      </w:pPr>
      <w:r w:rsidRPr="00ED048E">
        <w:t>Epiphyses are open</w:t>
      </w:r>
    </w:p>
    <w:p w14:paraId="54913F3C" w14:textId="321E3AB5" w:rsidR="00FC734C" w:rsidRPr="00ED048E" w:rsidRDefault="00FC734C" w:rsidP="00C21EFF">
      <w:pPr>
        <w:pStyle w:val="Heading3"/>
      </w:pPr>
      <w:r w:rsidRPr="00ED048E">
        <w:t>Prader-Willi Syndrome</w:t>
      </w:r>
      <w:r w:rsidRPr="00ED048E">
        <w:rPr>
          <w:vertAlign w:val="superscript"/>
        </w:rPr>
        <w:t>1,3,</w:t>
      </w:r>
      <w:r w:rsidR="002C4BE3">
        <w:rPr>
          <w:vertAlign w:val="superscript"/>
        </w:rPr>
        <w:t>1</w:t>
      </w:r>
      <w:r w:rsidRPr="00ED048E">
        <w:rPr>
          <w:vertAlign w:val="superscript"/>
        </w:rPr>
        <w:t>7,</w:t>
      </w:r>
      <w:r w:rsidR="002C4BE3">
        <w:rPr>
          <w:vertAlign w:val="superscript"/>
        </w:rPr>
        <w:t>19</w:t>
      </w:r>
      <w:r w:rsidRPr="00ED048E">
        <w:rPr>
          <w:vertAlign w:val="superscript"/>
        </w:rPr>
        <w:t>,2</w:t>
      </w:r>
      <w:r w:rsidR="002C4BE3">
        <w:rPr>
          <w:vertAlign w:val="superscript"/>
        </w:rPr>
        <w:t>1</w:t>
      </w:r>
      <w:r w:rsidRPr="00ED048E">
        <w:rPr>
          <w:vertAlign w:val="superscript"/>
        </w:rPr>
        <w:t>,</w:t>
      </w:r>
      <w:r w:rsidR="002C4BE3">
        <w:rPr>
          <w:vertAlign w:val="superscript"/>
        </w:rPr>
        <w:t>27</w:t>
      </w:r>
    </w:p>
    <w:p w14:paraId="6333B96F" w14:textId="4CBF0513" w:rsidR="00FC734C" w:rsidRPr="00ED048E" w:rsidRDefault="00FC734C" w:rsidP="00C21EFF">
      <w:pPr>
        <w:pStyle w:val="BodyText"/>
      </w:pPr>
      <w:r w:rsidRPr="00ED048E">
        <w:t>Authorization of 12 months may be granted to members with Prader-Willi syndrome when the diagnosis was confirmed by genetic testing demonstrating ANY of the following:</w:t>
      </w:r>
    </w:p>
    <w:p w14:paraId="525DD2F5" w14:textId="7A67BACF" w:rsidR="00FC734C" w:rsidRPr="00ED048E" w:rsidRDefault="00FC734C" w:rsidP="00C21EFF">
      <w:pPr>
        <w:pStyle w:val="ListParagraph"/>
        <w:numPr>
          <w:ilvl w:val="0"/>
          <w:numId w:val="175"/>
        </w:numPr>
      </w:pPr>
      <w:r w:rsidRPr="00ED048E">
        <w:t>Deletion in the chromosomal 15q11.2-q13 region</w:t>
      </w:r>
    </w:p>
    <w:p w14:paraId="7472CF9A" w14:textId="5192A3F7" w:rsidR="00FC734C" w:rsidRPr="00ED048E" w:rsidRDefault="00FC734C" w:rsidP="00C21EFF">
      <w:pPr>
        <w:pStyle w:val="ListParagraph"/>
        <w:numPr>
          <w:ilvl w:val="0"/>
          <w:numId w:val="175"/>
        </w:numPr>
      </w:pPr>
      <w:r w:rsidRPr="00ED048E">
        <w:t>Maternal uniparental disomy in chromosome 15</w:t>
      </w:r>
    </w:p>
    <w:p w14:paraId="7179CCDE" w14:textId="26EBDBB3" w:rsidR="00FC734C" w:rsidRPr="00ED048E" w:rsidRDefault="00FC734C" w:rsidP="00C21EFF">
      <w:pPr>
        <w:pStyle w:val="ListParagraph"/>
        <w:numPr>
          <w:ilvl w:val="0"/>
          <w:numId w:val="175"/>
        </w:numPr>
      </w:pPr>
      <w:r w:rsidRPr="00ED048E">
        <w:t>Imprinting defects, translocations, or inversions involving chromosome 15</w:t>
      </w:r>
    </w:p>
    <w:p w14:paraId="68B5437A" w14:textId="5E68C91C" w:rsidR="00FC734C" w:rsidRPr="00ED048E" w:rsidRDefault="00FC734C" w:rsidP="00C21EFF">
      <w:pPr>
        <w:pStyle w:val="Heading3"/>
      </w:pPr>
      <w:r w:rsidRPr="00ED048E">
        <w:t>Noonan Syndrome</w:t>
      </w:r>
      <w:r w:rsidRPr="00ED048E">
        <w:rPr>
          <w:vertAlign w:val="superscript"/>
        </w:rPr>
        <w:t>3</w:t>
      </w:r>
    </w:p>
    <w:p w14:paraId="0CEA8FA4" w14:textId="47DDE2BB" w:rsidR="00FC734C" w:rsidRPr="00ED048E" w:rsidRDefault="00FC734C" w:rsidP="00C21EFF">
      <w:r w:rsidRPr="00ED048E">
        <w:t xml:space="preserve">Authorization of 12 months may be granted to members with Noonan syndrome when </w:t>
      </w:r>
      <w:r w:rsidR="002375BA">
        <w:t>both</w:t>
      </w:r>
      <w:r w:rsidRPr="00ED048E">
        <w:t xml:space="preserve"> of the following criteria are met:</w:t>
      </w:r>
    </w:p>
    <w:p w14:paraId="79CBCDAC" w14:textId="5B924B2D" w:rsidR="002375BA" w:rsidRDefault="002375BA" w:rsidP="00C21EFF">
      <w:pPr>
        <w:pStyle w:val="ListParagraph"/>
        <w:numPr>
          <w:ilvl w:val="0"/>
          <w:numId w:val="174"/>
        </w:numPr>
      </w:pPr>
      <w:r>
        <w:t>Member has either of the following:</w:t>
      </w:r>
    </w:p>
    <w:p w14:paraId="7FD2E97D" w14:textId="77777777" w:rsidR="002375BA" w:rsidRDefault="00FC734C" w:rsidP="0056309E">
      <w:pPr>
        <w:pStyle w:val="ListParagraph"/>
        <w:numPr>
          <w:ilvl w:val="1"/>
          <w:numId w:val="33"/>
        </w:numPr>
      </w:pPr>
      <w:r w:rsidRPr="00ED048E">
        <w:t>Pretreatment height is &gt; 2 SD below the mean and 1-year height velocity is &gt; 1 SD below the mean</w:t>
      </w:r>
    </w:p>
    <w:p w14:paraId="1D9544C5" w14:textId="35D15CA7" w:rsidR="00FC734C" w:rsidRPr="00ED048E" w:rsidRDefault="002375BA" w:rsidP="0056309E">
      <w:pPr>
        <w:pStyle w:val="ListParagraph"/>
        <w:numPr>
          <w:ilvl w:val="1"/>
          <w:numId w:val="33"/>
        </w:numPr>
      </w:pPr>
      <w:r>
        <w:t>P</w:t>
      </w:r>
      <w:r w:rsidR="00FC734C" w:rsidRPr="00ED048E">
        <w:t>retreatment 1-year height velocity is &gt; 2 SD below the mean</w:t>
      </w:r>
    </w:p>
    <w:p w14:paraId="6BA29E3A" w14:textId="3BDC4491" w:rsidR="00FC734C" w:rsidRPr="00ED048E" w:rsidRDefault="00FC734C" w:rsidP="00C21EFF">
      <w:pPr>
        <w:pStyle w:val="ListParagraph"/>
        <w:numPr>
          <w:ilvl w:val="0"/>
          <w:numId w:val="174"/>
        </w:numPr>
      </w:pPr>
      <w:r w:rsidRPr="00ED048E">
        <w:t>Epiphyses are open</w:t>
      </w:r>
    </w:p>
    <w:p w14:paraId="589D1ADF" w14:textId="66CD14A5" w:rsidR="00FC734C" w:rsidRPr="00ED048E" w:rsidRDefault="00FC734C" w:rsidP="00C21EFF">
      <w:pPr>
        <w:pStyle w:val="Heading3"/>
      </w:pPr>
      <w:r w:rsidRPr="00ED048E">
        <w:t>Short Stature Homeobox-Containing Gene (SHOX) Deficiency</w:t>
      </w:r>
      <w:r w:rsidRPr="00ED048E">
        <w:rPr>
          <w:vertAlign w:val="superscript"/>
        </w:rPr>
        <w:t>2,</w:t>
      </w:r>
      <w:r w:rsidR="002C4BE3">
        <w:rPr>
          <w:vertAlign w:val="superscript"/>
        </w:rPr>
        <w:t>7</w:t>
      </w:r>
      <w:r w:rsidRPr="00ED048E">
        <w:rPr>
          <w:vertAlign w:val="superscript"/>
        </w:rPr>
        <w:t>,</w:t>
      </w:r>
      <w:r w:rsidR="002C4BE3">
        <w:rPr>
          <w:vertAlign w:val="superscript"/>
        </w:rPr>
        <w:t>22</w:t>
      </w:r>
      <w:r w:rsidRPr="00ED048E">
        <w:rPr>
          <w:vertAlign w:val="superscript"/>
        </w:rPr>
        <w:t>,</w:t>
      </w:r>
      <w:r w:rsidR="002C4BE3">
        <w:rPr>
          <w:vertAlign w:val="superscript"/>
        </w:rPr>
        <w:t>23</w:t>
      </w:r>
    </w:p>
    <w:p w14:paraId="1E1CBAE6" w14:textId="060AB3C0" w:rsidR="00FC734C" w:rsidRPr="00ED048E" w:rsidRDefault="00FC734C" w:rsidP="00C21EFF">
      <w:pPr>
        <w:pStyle w:val="BodyText"/>
      </w:pPr>
      <w:r w:rsidRPr="00ED048E">
        <w:t xml:space="preserve">Authorization of 12 months may be granted to members with short stature homeobox-containing gene (SHOX) deficiency when </w:t>
      </w:r>
      <w:proofErr w:type="gramStart"/>
      <w:r w:rsidRPr="00ED048E">
        <w:t>ALL of</w:t>
      </w:r>
      <w:proofErr w:type="gramEnd"/>
      <w:r w:rsidRPr="00ED048E">
        <w:t xml:space="preserve"> the following criteria are met:</w:t>
      </w:r>
    </w:p>
    <w:p w14:paraId="4F3AD3E2" w14:textId="18884D04" w:rsidR="00FC734C" w:rsidRPr="00ED048E" w:rsidRDefault="00BE2ED5" w:rsidP="00C21EFF">
      <w:pPr>
        <w:pStyle w:val="ListParagraph"/>
        <w:numPr>
          <w:ilvl w:val="0"/>
          <w:numId w:val="172"/>
        </w:numPr>
      </w:pPr>
      <w:r>
        <w:lastRenderedPageBreak/>
        <w:t>D</w:t>
      </w:r>
      <w:r w:rsidR="00FC734C" w:rsidRPr="00ED048E">
        <w:t>iagnosis of SHOX deficiency was confirmed by molecular or genetic analyses</w:t>
      </w:r>
    </w:p>
    <w:p w14:paraId="6C1769DF" w14:textId="060602D5" w:rsidR="00BE2ED5" w:rsidRDefault="00BE2ED5" w:rsidP="00C21EFF">
      <w:pPr>
        <w:pStyle w:val="ListParagraph"/>
        <w:numPr>
          <w:ilvl w:val="0"/>
          <w:numId w:val="172"/>
        </w:numPr>
      </w:pPr>
      <w:r>
        <w:t>Member has either of the following:</w:t>
      </w:r>
    </w:p>
    <w:p w14:paraId="29A23629" w14:textId="77777777" w:rsidR="00BE2ED5" w:rsidRDefault="00FC734C" w:rsidP="0056309E">
      <w:pPr>
        <w:pStyle w:val="ListParagraph"/>
        <w:numPr>
          <w:ilvl w:val="1"/>
          <w:numId w:val="33"/>
        </w:numPr>
      </w:pPr>
      <w:r w:rsidRPr="00ED048E">
        <w:t>Pretreatment height is &gt; 2 SD below the mean and 1-year height velocity is &gt; 1 SD below the mean</w:t>
      </w:r>
    </w:p>
    <w:p w14:paraId="1EDF6623" w14:textId="74F82BFB" w:rsidR="00FC734C" w:rsidRPr="00ED048E" w:rsidRDefault="00BE2ED5" w:rsidP="0056309E">
      <w:pPr>
        <w:pStyle w:val="ListParagraph"/>
        <w:numPr>
          <w:ilvl w:val="1"/>
          <w:numId w:val="33"/>
        </w:numPr>
      </w:pPr>
      <w:r>
        <w:t>P</w:t>
      </w:r>
      <w:r w:rsidR="00FC734C" w:rsidRPr="00ED048E">
        <w:t>retreatment 1-year height velocity is &gt; 2 SD below the mean</w:t>
      </w:r>
    </w:p>
    <w:p w14:paraId="6184BA99" w14:textId="0AFCBB93" w:rsidR="00FC734C" w:rsidRPr="00ED048E" w:rsidRDefault="00FC734C" w:rsidP="00C21EFF">
      <w:pPr>
        <w:pStyle w:val="ListParagraph"/>
        <w:numPr>
          <w:ilvl w:val="0"/>
          <w:numId w:val="172"/>
        </w:numPr>
      </w:pPr>
      <w:r w:rsidRPr="00ED048E">
        <w:t>Epiphyses are open</w:t>
      </w:r>
    </w:p>
    <w:p w14:paraId="3BF771D9" w14:textId="246B0805" w:rsidR="00FC734C" w:rsidRPr="00ED048E" w:rsidRDefault="00FC734C" w:rsidP="00C21EFF">
      <w:pPr>
        <w:pStyle w:val="Heading3"/>
      </w:pPr>
      <w:r w:rsidRPr="00ED048E">
        <w:t>Adult Growth Hormone (GH) Deficiency</w:t>
      </w:r>
      <w:r w:rsidRPr="00ED048E">
        <w:rPr>
          <w:vertAlign w:val="superscript"/>
        </w:rPr>
        <w:t>1-7,1</w:t>
      </w:r>
      <w:r w:rsidR="00A373EC">
        <w:rPr>
          <w:vertAlign w:val="superscript"/>
        </w:rPr>
        <w:t>6</w:t>
      </w:r>
      <w:r w:rsidRPr="00ED048E">
        <w:rPr>
          <w:vertAlign w:val="superscript"/>
        </w:rPr>
        <w:t>,2</w:t>
      </w:r>
      <w:r w:rsidR="00A373EC">
        <w:rPr>
          <w:vertAlign w:val="superscript"/>
        </w:rPr>
        <w:t>4</w:t>
      </w:r>
      <w:r w:rsidRPr="00ED048E">
        <w:rPr>
          <w:vertAlign w:val="superscript"/>
        </w:rPr>
        <w:t>,</w:t>
      </w:r>
      <w:r w:rsidR="00A373EC">
        <w:rPr>
          <w:vertAlign w:val="superscript"/>
        </w:rPr>
        <w:t>26</w:t>
      </w:r>
    </w:p>
    <w:p w14:paraId="1ED76BC0" w14:textId="509140A4" w:rsidR="00FC734C" w:rsidRPr="00ED048E" w:rsidRDefault="00FC734C" w:rsidP="00C21EFF">
      <w:pPr>
        <w:pStyle w:val="BodyText"/>
      </w:pPr>
      <w:r w:rsidRPr="00ED048E">
        <w:t>Authorization of 12 months may be granted to members with adult growth hormone (GH) deficiency when ANY of the following criteria is met:</w:t>
      </w:r>
    </w:p>
    <w:p w14:paraId="494D5707" w14:textId="273915BB" w:rsidR="00FC734C" w:rsidRPr="00ED048E" w:rsidRDefault="00FC734C" w:rsidP="00C21EFF">
      <w:pPr>
        <w:pStyle w:val="ListParagraph"/>
        <w:numPr>
          <w:ilvl w:val="0"/>
          <w:numId w:val="159"/>
        </w:numPr>
      </w:pPr>
      <w:r w:rsidRPr="00ED048E">
        <w:t>Member meets both of the following</w:t>
      </w:r>
      <w:r w:rsidR="00BE2ED5">
        <w:t xml:space="preserve"> criteria</w:t>
      </w:r>
      <w:r w:rsidRPr="00ED048E">
        <w:t>:</w:t>
      </w:r>
    </w:p>
    <w:p w14:paraId="37107CD0" w14:textId="4405D416" w:rsidR="00FC734C" w:rsidRPr="00ED048E" w:rsidRDefault="00FC734C" w:rsidP="00C21EFF">
      <w:pPr>
        <w:pStyle w:val="ListParagraph"/>
        <w:numPr>
          <w:ilvl w:val="1"/>
          <w:numId w:val="159"/>
        </w:numPr>
        <w:ind w:left="1440"/>
      </w:pPr>
      <w:r w:rsidRPr="00ED048E">
        <w:t xml:space="preserve">Member has had 2 pretreatment pharmacologic provocative GH tests and both results demonstrated deficient GH responses defined as </w:t>
      </w:r>
      <w:r w:rsidR="00CA065E">
        <w:t xml:space="preserve">any of </w:t>
      </w:r>
      <w:r w:rsidRPr="00ED048E">
        <w:t>the following:</w:t>
      </w:r>
    </w:p>
    <w:p w14:paraId="0E91062A" w14:textId="195ED59A" w:rsidR="00FC734C" w:rsidRPr="00ED048E" w:rsidRDefault="00FC734C" w:rsidP="00C21EFF">
      <w:pPr>
        <w:pStyle w:val="ListParagraph"/>
        <w:numPr>
          <w:ilvl w:val="2"/>
          <w:numId w:val="167"/>
        </w:numPr>
        <w:ind w:left="2160"/>
      </w:pPr>
      <w:r w:rsidRPr="00ED048E">
        <w:t xml:space="preserve">Insulin tolerance test (ITT) with a peak GH level </w:t>
      </w:r>
      <w:r w:rsidRPr="00ED048E">
        <w:rPr>
          <w:rFonts w:ascii="Arial" w:hAnsi="Arial"/>
        </w:rPr>
        <w:t>≤</w:t>
      </w:r>
      <w:r w:rsidRPr="00ED048E">
        <w:t xml:space="preserve"> 5 ng/mL</w:t>
      </w:r>
    </w:p>
    <w:p w14:paraId="6CA6417C" w14:textId="7A3A16BA" w:rsidR="00FC734C" w:rsidRPr="00ED048E" w:rsidRDefault="00FC734C" w:rsidP="00C21EFF">
      <w:pPr>
        <w:pStyle w:val="ListParagraph"/>
        <w:numPr>
          <w:ilvl w:val="2"/>
          <w:numId w:val="167"/>
        </w:numPr>
        <w:ind w:left="2160"/>
      </w:pPr>
      <w:r w:rsidRPr="00ED048E">
        <w:t>Macrilen with a peak GH level of &lt; 2.8 ng/mL</w:t>
      </w:r>
      <w:proofErr w:type="gramStart"/>
      <w:r w:rsidR="00A373EC">
        <w:rPr>
          <w:vertAlign w:val="superscript"/>
        </w:rPr>
        <w:t>24</w:t>
      </w:r>
      <w:r w:rsidRPr="00ED048E">
        <w:rPr>
          <w:vertAlign w:val="superscript"/>
        </w:rPr>
        <w:t>,</w:t>
      </w:r>
      <w:r w:rsidR="00A373EC">
        <w:rPr>
          <w:vertAlign w:val="superscript"/>
        </w:rPr>
        <w:t>A</w:t>
      </w:r>
      <w:proofErr w:type="gramEnd"/>
      <w:r w:rsidRPr="00ED048E">
        <w:rPr>
          <w:vertAlign w:val="superscript"/>
        </w:rPr>
        <w:t>,</w:t>
      </w:r>
      <w:r w:rsidR="00A373EC">
        <w:rPr>
          <w:vertAlign w:val="superscript"/>
        </w:rPr>
        <w:t>D</w:t>
      </w:r>
    </w:p>
    <w:p w14:paraId="412B3625" w14:textId="4FEBD347" w:rsidR="00FC734C" w:rsidRPr="00ED048E" w:rsidRDefault="00FC734C" w:rsidP="00C21EFF">
      <w:pPr>
        <w:pStyle w:val="ListParagraph"/>
        <w:numPr>
          <w:ilvl w:val="2"/>
          <w:numId w:val="167"/>
        </w:numPr>
        <w:ind w:left="2160"/>
      </w:pPr>
      <w:r w:rsidRPr="00ED048E">
        <w:t xml:space="preserve">Glucagon stimulation test with a peak GH level </w:t>
      </w:r>
      <w:r w:rsidRPr="00ED048E">
        <w:rPr>
          <w:rFonts w:ascii="Arial" w:hAnsi="Arial"/>
        </w:rPr>
        <w:t>≤</w:t>
      </w:r>
      <w:r w:rsidRPr="00ED048E">
        <w:t xml:space="preserve"> 3.0 ng/mL in patients with a body mass index (BMI) </w:t>
      </w:r>
      <w:r w:rsidRPr="00ED048E">
        <w:rPr>
          <w:rFonts w:ascii="Arial" w:hAnsi="Arial"/>
        </w:rPr>
        <w:t>≤</w:t>
      </w:r>
      <w:r w:rsidRPr="00ED048E">
        <w:t xml:space="preserve"> 30 kg/m</w:t>
      </w:r>
      <w:r w:rsidRPr="00ED048E">
        <w:rPr>
          <w:vertAlign w:val="superscript"/>
        </w:rPr>
        <w:t>2</w:t>
      </w:r>
      <w:r w:rsidRPr="00ED048E">
        <w:t xml:space="preserve"> and a high pretest probability of GHD (e.g., acquired structural abnormalities) OR a BMI &lt; 25 kg/m</w:t>
      </w:r>
      <w:r w:rsidRPr="00ED048E">
        <w:rPr>
          <w:vertAlign w:val="superscript"/>
        </w:rPr>
        <w:t>2</w:t>
      </w:r>
    </w:p>
    <w:p w14:paraId="31C90C46" w14:textId="5461CE4A" w:rsidR="00FC734C" w:rsidRPr="001F2C28" w:rsidRDefault="00FC734C" w:rsidP="00C21EFF">
      <w:pPr>
        <w:pStyle w:val="ListParagraph"/>
        <w:numPr>
          <w:ilvl w:val="2"/>
          <w:numId w:val="167"/>
        </w:numPr>
        <w:ind w:left="2160"/>
      </w:pPr>
      <w:r w:rsidRPr="00ED048E">
        <w:t xml:space="preserve">Glucagon stimulation test with a peak GH level </w:t>
      </w:r>
      <w:r w:rsidRPr="00ED048E">
        <w:rPr>
          <w:rFonts w:ascii="Arial" w:hAnsi="Arial"/>
        </w:rPr>
        <w:t>≤</w:t>
      </w:r>
      <w:r w:rsidRPr="00ED048E">
        <w:t xml:space="preserve"> 1.0 ng/mL in patients with a BMI of </w:t>
      </w:r>
      <w:r w:rsidRPr="00ED048E">
        <w:rPr>
          <w:rFonts w:ascii="Arial" w:hAnsi="Arial"/>
        </w:rPr>
        <w:t>≥</w:t>
      </w:r>
      <w:r w:rsidRPr="00ED048E">
        <w:t xml:space="preserve"> 25 kg/m</w:t>
      </w:r>
      <w:r w:rsidRPr="00ED048E">
        <w:rPr>
          <w:vertAlign w:val="superscript"/>
        </w:rPr>
        <w:t>2</w:t>
      </w:r>
      <w:r w:rsidRPr="00ED048E">
        <w:t xml:space="preserve"> and a low pretest probability of GHD (e.g., acquired structural </w:t>
      </w:r>
      <w:r w:rsidRPr="001F2C28">
        <w:t>abnormalities) OR a BMI &gt; 30 kg/m</w:t>
      </w:r>
      <w:r w:rsidRPr="001F2C28">
        <w:rPr>
          <w:vertAlign w:val="superscript"/>
        </w:rPr>
        <w:t>2</w:t>
      </w:r>
    </w:p>
    <w:p w14:paraId="7A406AD9" w14:textId="48889CFB" w:rsidR="00A373EC" w:rsidRPr="001F2C28" w:rsidRDefault="00FC734C" w:rsidP="00A373EC">
      <w:pPr>
        <w:pStyle w:val="ListParagraph"/>
        <w:numPr>
          <w:ilvl w:val="1"/>
          <w:numId w:val="159"/>
        </w:numPr>
        <w:ind w:left="1440"/>
      </w:pPr>
      <w:r w:rsidRPr="001F2C28">
        <w:t xml:space="preserve">Member has a pretreatment IGF-1 </w:t>
      </w:r>
      <w:r w:rsidR="00A373EC" w:rsidRPr="001F2C28">
        <w:t xml:space="preserve">level </w:t>
      </w:r>
      <w:r w:rsidRPr="001F2C28">
        <w:t>0 to 2 SD below the mean for age and gender</w:t>
      </w:r>
    </w:p>
    <w:p w14:paraId="5FCDEB48" w14:textId="3BFB30CF" w:rsidR="00FC734C" w:rsidRPr="001F2C28" w:rsidRDefault="00FC734C" w:rsidP="00C21EFF">
      <w:pPr>
        <w:pStyle w:val="ListParagraph"/>
        <w:numPr>
          <w:ilvl w:val="0"/>
          <w:numId w:val="159"/>
        </w:numPr>
      </w:pPr>
      <w:r w:rsidRPr="001F2C28">
        <w:t>Member meets both of the following</w:t>
      </w:r>
      <w:r w:rsidR="000A779F" w:rsidRPr="001F2C28">
        <w:t xml:space="preserve"> criteria</w:t>
      </w:r>
      <w:r w:rsidRPr="001F2C28">
        <w:t>:</w:t>
      </w:r>
      <w:r w:rsidR="00A373EC" w:rsidRPr="001F2C28">
        <w:rPr>
          <w:vertAlign w:val="superscript"/>
        </w:rPr>
        <w:t>26</w:t>
      </w:r>
    </w:p>
    <w:p w14:paraId="79C82456" w14:textId="2E8C570F" w:rsidR="00FC734C" w:rsidRPr="001F2C28" w:rsidRDefault="00FC734C" w:rsidP="00C21EFF">
      <w:pPr>
        <w:pStyle w:val="ListParagraph"/>
        <w:numPr>
          <w:ilvl w:val="1"/>
          <w:numId w:val="159"/>
        </w:numPr>
        <w:ind w:left="1440"/>
      </w:pPr>
      <w:r w:rsidRPr="001F2C28">
        <w:t xml:space="preserve">Member has had 1 pretreatment pharmacologic provocative GH test that demonstrated deficient GH responses defined as </w:t>
      </w:r>
      <w:r w:rsidR="005F5180" w:rsidRPr="001F2C28">
        <w:t>any</w:t>
      </w:r>
      <w:r w:rsidRPr="001F2C28">
        <w:t xml:space="preserve"> of the following:</w:t>
      </w:r>
    </w:p>
    <w:p w14:paraId="0E26E8C3" w14:textId="095AAEEF" w:rsidR="00FC734C" w:rsidRPr="001F2C28" w:rsidRDefault="00FC734C" w:rsidP="00C21EFF">
      <w:pPr>
        <w:pStyle w:val="ListParagraph"/>
        <w:numPr>
          <w:ilvl w:val="2"/>
          <w:numId w:val="169"/>
        </w:numPr>
      </w:pPr>
      <w:r w:rsidRPr="001F2C28">
        <w:t xml:space="preserve">Insulin tolerance test (ITT) with a peak GH level </w:t>
      </w:r>
      <w:r w:rsidRPr="001F2C28">
        <w:rPr>
          <w:rFonts w:ascii="Arial" w:hAnsi="Arial"/>
        </w:rPr>
        <w:t>≤</w:t>
      </w:r>
      <w:r w:rsidRPr="001F2C28">
        <w:t xml:space="preserve"> 5 ng/mL</w:t>
      </w:r>
    </w:p>
    <w:p w14:paraId="05BC3B83" w14:textId="50A86C39" w:rsidR="00FC734C" w:rsidRPr="001F2C28" w:rsidRDefault="00FC734C" w:rsidP="00C21EFF">
      <w:pPr>
        <w:pStyle w:val="ListParagraph"/>
        <w:numPr>
          <w:ilvl w:val="2"/>
          <w:numId w:val="169"/>
        </w:numPr>
      </w:pPr>
      <w:r w:rsidRPr="001F2C28">
        <w:t>Macrilen with a peak GH level of &lt; 2.8 ng/mL</w:t>
      </w:r>
    </w:p>
    <w:p w14:paraId="2143CCAF" w14:textId="4912A894" w:rsidR="00FC734C" w:rsidRPr="001F2C28" w:rsidRDefault="00FC734C" w:rsidP="00C21EFF">
      <w:pPr>
        <w:pStyle w:val="ListParagraph"/>
        <w:numPr>
          <w:ilvl w:val="2"/>
          <w:numId w:val="169"/>
        </w:numPr>
      </w:pPr>
      <w:r w:rsidRPr="001F2C28">
        <w:t xml:space="preserve">Glucagon stimulation test with a peak GH level </w:t>
      </w:r>
      <w:r w:rsidRPr="001F2C28">
        <w:rPr>
          <w:rFonts w:ascii="Arial" w:hAnsi="Arial"/>
        </w:rPr>
        <w:t>≤</w:t>
      </w:r>
      <w:r w:rsidRPr="001F2C28">
        <w:t xml:space="preserve"> 3.0 ng/mL in patients with a body mass index (BMI) </w:t>
      </w:r>
      <w:r w:rsidRPr="001F2C28">
        <w:rPr>
          <w:rFonts w:ascii="Arial" w:hAnsi="Arial"/>
        </w:rPr>
        <w:t>≤</w:t>
      </w:r>
      <w:r w:rsidRPr="001F2C28">
        <w:t xml:space="preserve"> 30 kg/m</w:t>
      </w:r>
      <w:r w:rsidRPr="001F2C28">
        <w:rPr>
          <w:vertAlign w:val="superscript"/>
        </w:rPr>
        <w:t>2</w:t>
      </w:r>
      <w:r w:rsidRPr="001F2C28">
        <w:t xml:space="preserve"> and a high pretest probability of GHD (e.g., acquired structural abnormalities) OR a BMI &lt; 25 kg/m</w:t>
      </w:r>
      <w:r w:rsidRPr="001F2C28">
        <w:rPr>
          <w:vertAlign w:val="superscript"/>
        </w:rPr>
        <w:t>2</w:t>
      </w:r>
    </w:p>
    <w:p w14:paraId="411022FA" w14:textId="6F013A15" w:rsidR="00FC734C" w:rsidRPr="001F2C28" w:rsidRDefault="00FC734C" w:rsidP="00C21EFF">
      <w:pPr>
        <w:pStyle w:val="ListParagraph"/>
        <w:numPr>
          <w:ilvl w:val="2"/>
          <w:numId w:val="169"/>
        </w:numPr>
      </w:pPr>
      <w:r w:rsidRPr="001F2C28">
        <w:t xml:space="preserve">Glucagon stimulation test with a peak GH level </w:t>
      </w:r>
      <w:r w:rsidRPr="001F2C28">
        <w:rPr>
          <w:rFonts w:ascii="Arial" w:hAnsi="Arial"/>
        </w:rPr>
        <w:t>≤</w:t>
      </w:r>
      <w:r w:rsidRPr="001F2C28">
        <w:t xml:space="preserve"> 1.0 ng/mL in patients with a BMI of </w:t>
      </w:r>
      <w:r w:rsidRPr="001F2C28">
        <w:rPr>
          <w:rFonts w:ascii="Arial" w:hAnsi="Arial"/>
        </w:rPr>
        <w:t>≥</w:t>
      </w:r>
      <w:r w:rsidRPr="001F2C28">
        <w:t xml:space="preserve"> 25 kg/m</w:t>
      </w:r>
      <w:r w:rsidRPr="001F2C28">
        <w:rPr>
          <w:vertAlign w:val="superscript"/>
        </w:rPr>
        <w:t>2</w:t>
      </w:r>
      <w:r w:rsidRPr="001F2C28">
        <w:t xml:space="preserve"> and a low pretest probability of GHD (e.g., acquired structural abnormalities) OR a BMI &gt; 30 kg/m</w:t>
      </w:r>
      <w:r w:rsidRPr="001F2C28">
        <w:rPr>
          <w:vertAlign w:val="superscript"/>
        </w:rPr>
        <w:t>2</w:t>
      </w:r>
    </w:p>
    <w:p w14:paraId="231A9CA6" w14:textId="58F49677" w:rsidR="00FC734C" w:rsidRPr="001F2C28" w:rsidRDefault="00FC734C" w:rsidP="00C21EFF">
      <w:pPr>
        <w:pStyle w:val="ListParagraph"/>
        <w:numPr>
          <w:ilvl w:val="1"/>
          <w:numId w:val="159"/>
        </w:numPr>
        <w:ind w:left="1440"/>
      </w:pPr>
      <w:r w:rsidRPr="001F2C28">
        <w:t>Member has a pretreatment IGF-1 level &gt; 2 SD below the mean for age and gender</w:t>
      </w:r>
    </w:p>
    <w:p w14:paraId="7F4EEB99" w14:textId="67CDAF00" w:rsidR="00DE1800" w:rsidRPr="001F2C28" w:rsidRDefault="00DE1800" w:rsidP="00C21EFF">
      <w:pPr>
        <w:pStyle w:val="ListParagraph"/>
        <w:numPr>
          <w:ilvl w:val="0"/>
          <w:numId w:val="159"/>
        </w:numPr>
      </w:pPr>
      <w:r w:rsidRPr="001F2C28">
        <w:t>Member meets both of the following criteria:</w:t>
      </w:r>
    </w:p>
    <w:p w14:paraId="7192AD52" w14:textId="3A3D4007" w:rsidR="00DE1800" w:rsidRPr="001F2C28" w:rsidRDefault="00FC734C" w:rsidP="00DE1800">
      <w:pPr>
        <w:pStyle w:val="ListParagraph"/>
        <w:numPr>
          <w:ilvl w:val="1"/>
          <w:numId w:val="159"/>
        </w:numPr>
        <w:ind w:left="1440"/>
      </w:pPr>
      <w:r w:rsidRPr="001F2C28">
        <w:t xml:space="preserve">Member has organic hypothalamic-pituitary disease (e.g., suprasellar mass with previous surgery and cranial irradiation) with </w:t>
      </w:r>
      <w:r w:rsidRPr="001F2C28">
        <w:rPr>
          <w:rFonts w:ascii="Arial" w:hAnsi="Arial"/>
        </w:rPr>
        <w:t>≥</w:t>
      </w:r>
      <w:r w:rsidRPr="001F2C28">
        <w:t xml:space="preserve"> 3 documented pituitary hormone deficiencies (</w:t>
      </w:r>
      <w:r w:rsidR="00DE1800" w:rsidRPr="001F2C28">
        <w:t>see</w:t>
      </w:r>
      <w:r w:rsidRPr="001F2C28">
        <w:t xml:space="preserve"> Appendix B)</w:t>
      </w:r>
    </w:p>
    <w:p w14:paraId="4EF85F40" w14:textId="766405FF" w:rsidR="00FC734C" w:rsidRPr="001F2C28" w:rsidRDefault="00DE1800" w:rsidP="0056309E">
      <w:pPr>
        <w:pStyle w:val="ListParagraph"/>
        <w:numPr>
          <w:ilvl w:val="1"/>
          <w:numId w:val="159"/>
        </w:numPr>
        <w:ind w:left="1440"/>
      </w:pPr>
      <w:r w:rsidRPr="001F2C28">
        <w:t xml:space="preserve">Member has a </w:t>
      </w:r>
      <w:r w:rsidR="00FC734C" w:rsidRPr="001F2C28">
        <w:t>pretreatment IGF-1</w:t>
      </w:r>
      <w:r w:rsidR="00144AAD" w:rsidRPr="001F2C28">
        <w:t xml:space="preserve"> level</w:t>
      </w:r>
      <w:r w:rsidR="00FC734C" w:rsidRPr="001F2C28">
        <w:t xml:space="preserve"> &gt; 2 </w:t>
      </w:r>
      <w:r w:rsidRPr="001F2C28">
        <w:t>SD</w:t>
      </w:r>
      <w:r w:rsidR="00FC734C" w:rsidRPr="001F2C28">
        <w:t xml:space="preserve"> below the mean for age and gender</w:t>
      </w:r>
      <w:r w:rsidR="00295EC7" w:rsidRPr="001F2C28">
        <w:rPr>
          <w:vertAlign w:val="superscript"/>
        </w:rPr>
        <w:t>26</w:t>
      </w:r>
    </w:p>
    <w:p w14:paraId="296AF703" w14:textId="1B5B5394" w:rsidR="00FC734C" w:rsidRPr="001F2C28" w:rsidRDefault="00FC734C" w:rsidP="00C21EFF">
      <w:pPr>
        <w:pStyle w:val="ListParagraph"/>
        <w:numPr>
          <w:ilvl w:val="0"/>
          <w:numId w:val="159"/>
        </w:numPr>
      </w:pPr>
      <w:r w:rsidRPr="001F2C28">
        <w:t xml:space="preserve">Member has genetic or </w:t>
      </w:r>
      <w:r w:rsidR="00DE1800" w:rsidRPr="001F2C28">
        <w:t xml:space="preserve">congenital </w:t>
      </w:r>
      <w:r w:rsidRPr="001F2C28">
        <w:t>structural hypothalamic-pituitary defects (</w:t>
      </w:r>
      <w:r w:rsidR="00DE1800" w:rsidRPr="001F2C28">
        <w:t>see</w:t>
      </w:r>
      <w:r w:rsidRPr="001F2C28">
        <w:t xml:space="preserve"> Appendix C)</w:t>
      </w:r>
      <w:r w:rsidR="00295EC7" w:rsidRPr="001F2C28">
        <w:rPr>
          <w:vertAlign w:val="superscript"/>
        </w:rPr>
        <w:t>26</w:t>
      </w:r>
    </w:p>
    <w:p w14:paraId="2DE64FAB" w14:textId="0650F7A4" w:rsidR="00FC734C" w:rsidRPr="001F2C28" w:rsidRDefault="00FC734C" w:rsidP="00C21EFF">
      <w:pPr>
        <w:pStyle w:val="ListParagraph"/>
        <w:numPr>
          <w:ilvl w:val="0"/>
          <w:numId w:val="159"/>
        </w:numPr>
      </w:pPr>
      <w:r w:rsidRPr="001F2C28">
        <w:lastRenderedPageBreak/>
        <w:t>Member has childhood-onset GH deficiency and a congenital abnormality of the CNS, hypothalamus or pituitary (</w:t>
      </w:r>
      <w:r w:rsidR="00DE1800" w:rsidRPr="001F2C28">
        <w:t>see</w:t>
      </w:r>
      <w:r w:rsidRPr="001F2C28">
        <w:t xml:space="preserve"> Appendix C)</w:t>
      </w:r>
      <w:r w:rsidRPr="001F2C28">
        <w:rPr>
          <w:vertAlign w:val="superscript"/>
        </w:rPr>
        <w:t>1</w:t>
      </w:r>
      <w:r w:rsidR="00295EC7" w:rsidRPr="001F2C28">
        <w:rPr>
          <w:vertAlign w:val="superscript"/>
        </w:rPr>
        <w:t>8</w:t>
      </w:r>
      <w:r w:rsidRPr="001F2C28">
        <w:rPr>
          <w:vertAlign w:val="superscript"/>
        </w:rPr>
        <w:t>,</w:t>
      </w:r>
      <w:r w:rsidR="00295EC7" w:rsidRPr="001F2C28">
        <w:rPr>
          <w:vertAlign w:val="superscript"/>
        </w:rPr>
        <w:t>24,25</w:t>
      </w:r>
    </w:p>
    <w:p w14:paraId="3A643EC3" w14:textId="008A3409" w:rsidR="00A501AC" w:rsidRPr="001F2C28" w:rsidRDefault="00A501AC" w:rsidP="00A501AC">
      <w:pPr>
        <w:pStyle w:val="Heading2"/>
      </w:pPr>
      <w:r w:rsidRPr="001F2C28">
        <w:t>Continuation of Therapy</w:t>
      </w:r>
    </w:p>
    <w:p w14:paraId="19D1EDE3" w14:textId="65C44394" w:rsidR="000E392F" w:rsidRPr="001F2C28" w:rsidRDefault="000E392F" w:rsidP="003A1066">
      <w:pPr>
        <w:pStyle w:val="Heading3"/>
      </w:pPr>
      <w:r w:rsidRPr="001F2C28">
        <w:t xml:space="preserve">Pediatric </w:t>
      </w:r>
      <w:bookmarkStart w:id="1" w:name="_Hlk188971585"/>
      <w:r w:rsidRPr="001F2C28">
        <w:t xml:space="preserve">Growth Hormone </w:t>
      </w:r>
      <w:bookmarkEnd w:id="1"/>
      <w:r w:rsidRPr="001F2C28">
        <w:t>(GH) Deficiency, Turner Syndrome, Noonan Syndrome, Chronic Kidney Disease (CKD), Small Gestational Age (SGA), Short Stature Homeobox-Containing Gene (SHOX) Deficiency, Congenital Adrenal Hyperplasia, Cerebral Palsy, Cystic Fibrosis, or Russell-Silver Syndrome</w:t>
      </w:r>
      <w:r w:rsidRPr="001F2C28">
        <w:rPr>
          <w:vertAlign w:val="superscript"/>
        </w:rPr>
        <w:t>1-8,</w:t>
      </w:r>
      <w:r w:rsidR="00295EC7" w:rsidRPr="001F2C28">
        <w:rPr>
          <w:vertAlign w:val="superscript"/>
        </w:rPr>
        <w:t>16</w:t>
      </w:r>
      <w:r w:rsidRPr="001F2C28">
        <w:rPr>
          <w:vertAlign w:val="superscript"/>
        </w:rPr>
        <w:t>-</w:t>
      </w:r>
      <w:r w:rsidR="00295EC7" w:rsidRPr="001F2C28">
        <w:rPr>
          <w:vertAlign w:val="superscript"/>
        </w:rPr>
        <w:t>19</w:t>
      </w:r>
    </w:p>
    <w:p w14:paraId="259FDB95" w14:textId="77777777" w:rsidR="000E392F" w:rsidRPr="001F2C28" w:rsidRDefault="000E392F" w:rsidP="003A1066">
      <w:pPr>
        <w:pStyle w:val="BodyText"/>
      </w:pPr>
      <w:r w:rsidRPr="001F2C28">
        <w:t xml:space="preserve">Authorization of 12 months may be granted for continuation of therapy for pediatric growth hormone (GH) deficiency, Turner syndrome, Noonan syndrome, chronic kidney disease (CKD), small gestational age (SGA), short stature homeobox-containing gene (SHOX) deficiency, congenital adrenal hyperplasia, cerebral palsy, cystic fibrosis, or Russell-Silver syndrome when </w:t>
      </w:r>
      <w:proofErr w:type="gramStart"/>
      <w:r w:rsidRPr="001F2C28">
        <w:t>ALL of</w:t>
      </w:r>
      <w:proofErr w:type="gramEnd"/>
      <w:r w:rsidRPr="001F2C28">
        <w:t xml:space="preserve"> the following criteria are met:</w:t>
      </w:r>
    </w:p>
    <w:p w14:paraId="00B7ACDD" w14:textId="76641B0F" w:rsidR="000E392F" w:rsidRPr="001F2C28" w:rsidRDefault="000E392F" w:rsidP="003A1066">
      <w:pPr>
        <w:pStyle w:val="ListParagraph"/>
        <w:numPr>
          <w:ilvl w:val="0"/>
          <w:numId w:val="190"/>
        </w:numPr>
      </w:pPr>
      <w:r w:rsidRPr="001F2C28">
        <w:t>Member is currently receiving the requested medication or another growth hormone product (e.g., Norditropin) indicated for pediatric GH deficiency, Turner syndrome, Noonan syndrome, CKD, SGA, SHOX deficiency, congenital adrenal hyperplasia, cerebral palsy, cystic fibrosis, or Russell-Silver Syndrome</w:t>
      </w:r>
    </w:p>
    <w:p w14:paraId="216F4393" w14:textId="6BF91E53" w:rsidR="000E392F" w:rsidRPr="001F2C28" w:rsidRDefault="000E392F" w:rsidP="003A1066">
      <w:pPr>
        <w:pStyle w:val="ListParagraph"/>
        <w:numPr>
          <w:ilvl w:val="0"/>
          <w:numId w:val="190"/>
        </w:numPr>
      </w:pPr>
      <w:r w:rsidRPr="001F2C28">
        <w:t>Epiphyses are open (confirmed by X-ray or X-ray is not available)</w:t>
      </w:r>
    </w:p>
    <w:p w14:paraId="00B65C5B" w14:textId="2F30F6E4" w:rsidR="000E392F" w:rsidRPr="001F2C28" w:rsidRDefault="000E392F" w:rsidP="003A1066">
      <w:pPr>
        <w:pStyle w:val="ListParagraph"/>
        <w:numPr>
          <w:ilvl w:val="0"/>
          <w:numId w:val="190"/>
        </w:numPr>
      </w:pPr>
      <w:r w:rsidRPr="001F2C28">
        <w:t>Member’s growth rate is &gt; 2 cm/year</w:t>
      </w:r>
      <w:r w:rsidR="00295EC7" w:rsidRPr="001F2C28">
        <w:rPr>
          <w:vertAlign w:val="superscript"/>
        </w:rPr>
        <w:t>16</w:t>
      </w:r>
      <w:r w:rsidRPr="001F2C28">
        <w:rPr>
          <w:vertAlign w:val="superscript"/>
        </w:rPr>
        <w:t>,</w:t>
      </w:r>
      <w:r w:rsidR="00295EC7" w:rsidRPr="001F2C28">
        <w:rPr>
          <w:vertAlign w:val="superscript"/>
        </w:rPr>
        <w:t>17</w:t>
      </w:r>
      <w:r w:rsidRPr="001F2C28">
        <w:t xml:space="preserve"> unless there is a documented clinical reason for lack of efficacy (e.g., on treatment less than 1 year, nearing final adult height/late stages of puberty)</w:t>
      </w:r>
      <w:r w:rsidR="00295EC7" w:rsidRPr="001F2C28">
        <w:rPr>
          <w:vertAlign w:val="superscript"/>
        </w:rPr>
        <w:t>18</w:t>
      </w:r>
    </w:p>
    <w:p w14:paraId="6F01B904" w14:textId="14A5E9BF" w:rsidR="000E392F" w:rsidRPr="001F2C28" w:rsidRDefault="000E392F" w:rsidP="003A1066">
      <w:pPr>
        <w:pStyle w:val="Heading3"/>
      </w:pPr>
      <w:r w:rsidRPr="001F2C28">
        <w:t>Prader-Willi Syndrome</w:t>
      </w:r>
      <w:r w:rsidRPr="001F2C28">
        <w:rPr>
          <w:vertAlign w:val="superscript"/>
        </w:rPr>
        <w:t>1,3,7,</w:t>
      </w:r>
      <w:r w:rsidR="00295EC7" w:rsidRPr="001F2C28">
        <w:rPr>
          <w:vertAlign w:val="superscript"/>
        </w:rPr>
        <w:t>17</w:t>
      </w:r>
      <w:r w:rsidRPr="001F2C28">
        <w:rPr>
          <w:vertAlign w:val="superscript"/>
        </w:rPr>
        <w:t>,</w:t>
      </w:r>
      <w:r w:rsidR="00295EC7" w:rsidRPr="001F2C28">
        <w:rPr>
          <w:vertAlign w:val="superscript"/>
        </w:rPr>
        <w:t>19</w:t>
      </w:r>
      <w:r w:rsidRPr="001F2C28">
        <w:rPr>
          <w:vertAlign w:val="superscript"/>
        </w:rPr>
        <w:t>,</w:t>
      </w:r>
      <w:r w:rsidR="00295EC7" w:rsidRPr="001F2C28">
        <w:rPr>
          <w:vertAlign w:val="superscript"/>
        </w:rPr>
        <w:t>21</w:t>
      </w:r>
    </w:p>
    <w:p w14:paraId="3023C3DE" w14:textId="3807FA13" w:rsidR="000E392F" w:rsidRPr="001F2C28" w:rsidRDefault="000E392F" w:rsidP="003A1066">
      <w:pPr>
        <w:pStyle w:val="BodyText"/>
      </w:pPr>
      <w:r w:rsidRPr="001F2C28">
        <w:t xml:space="preserve">Authorization of 12 months may be granted for continuation of therapy for Prader-Willi syndrome when both of the following criteria </w:t>
      </w:r>
      <w:r w:rsidR="00882F52" w:rsidRPr="001F2C28">
        <w:t>are</w:t>
      </w:r>
      <w:r w:rsidRPr="001F2C28">
        <w:t xml:space="preserve"> met:</w:t>
      </w:r>
    </w:p>
    <w:p w14:paraId="671DF2F0" w14:textId="7FCAA9E5" w:rsidR="000E392F" w:rsidRPr="001F2C28" w:rsidRDefault="000E392F" w:rsidP="003A1066">
      <w:pPr>
        <w:pStyle w:val="ListParagraph"/>
        <w:numPr>
          <w:ilvl w:val="0"/>
          <w:numId w:val="192"/>
        </w:numPr>
      </w:pPr>
      <w:r w:rsidRPr="001F2C28">
        <w:t>Member is currently receiving the requested medication or another growth hormone product (e.g., Norditropin) indicated for Prader-Willi syndrome</w:t>
      </w:r>
    </w:p>
    <w:p w14:paraId="5E8084BC" w14:textId="2C0CFF79" w:rsidR="000E392F" w:rsidRPr="001F2C28" w:rsidRDefault="000E392F" w:rsidP="003A1066">
      <w:pPr>
        <w:pStyle w:val="ListParagraph"/>
        <w:numPr>
          <w:ilvl w:val="0"/>
          <w:numId w:val="192"/>
        </w:numPr>
      </w:pPr>
      <w:r w:rsidRPr="001F2C28">
        <w:t>Member’s body composition and psychomotor function have improved or stabilized in response to GH therapy</w:t>
      </w:r>
      <w:r w:rsidR="00295EC7" w:rsidRPr="001F2C28">
        <w:rPr>
          <w:vertAlign w:val="superscript"/>
        </w:rPr>
        <w:t>17</w:t>
      </w:r>
      <w:r w:rsidRPr="001F2C28">
        <w:rPr>
          <w:vertAlign w:val="superscript"/>
        </w:rPr>
        <w:t>,</w:t>
      </w:r>
      <w:r w:rsidR="00295EC7" w:rsidRPr="001F2C28">
        <w:rPr>
          <w:vertAlign w:val="superscript"/>
        </w:rPr>
        <w:t>21</w:t>
      </w:r>
    </w:p>
    <w:p w14:paraId="03710827" w14:textId="294EC0CC" w:rsidR="000E392F" w:rsidRPr="001F2C28" w:rsidRDefault="000E392F" w:rsidP="003A1066">
      <w:pPr>
        <w:pStyle w:val="Heading3"/>
      </w:pPr>
      <w:r w:rsidRPr="001F2C28">
        <w:t>Adult Growth Hormone (GH) Deficiency</w:t>
      </w:r>
      <w:r w:rsidRPr="001F2C28">
        <w:rPr>
          <w:vertAlign w:val="superscript"/>
        </w:rPr>
        <w:t>1-7,</w:t>
      </w:r>
      <w:r w:rsidR="00295EC7" w:rsidRPr="001F2C28">
        <w:rPr>
          <w:vertAlign w:val="superscript"/>
        </w:rPr>
        <w:t>18</w:t>
      </w:r>
      <w:r w:rsidRPr="001F2C28">
        <w:rPr>
          <w:vertAlign w:val="superscript"/>
        </w:rPr>
        <w:t>,2</w:t>
      </w:r>
      <w:r w:rsidR="00295EC7" w:rsidRPr="001F2C28">
        <w:rPr>
          <w:vertAlign w:val="superscript"/>
        </w:rPr>
        <w:t>4</w:t>
      </w:r>
      <w:r w:rsidRPr="001F2C28">
        <w:rPr>
          <w:vertAlign w:val="superscript"/>
        </w:rPr>
        <w:t>,</w:t>
      </w:r>
      <w:r w:rsidR="00295EC7" w:rsidRPr="001F2C28">
        <w:rPr>
          <w:vertAlign w:val="superscript"/>
        </w:rPr>
        <w:t>26</w:t>
      </w:r>
    </w:p>
    <w:p w14:paraId="22528135" w14:textId="453F0F58" w:rsidR="000E392F" w:rsidRPr="001F2C28" w:rsidRDefault="000E392F" w:rsidP="003A1066">
      <w:pPr>
        <w:pStyle w:val="BodyText"/>
      </w:pPr>
      <w:r w:rsidRPr="001F2C28">
        <w:t xml:space="preserve">Authorization of 12 months may be granted for continuation of therapy for adult growth hormone (GH) deficiency when </w:t>
      </w:r>
      <w:r w:rsidR="00C541B5" w:rsidRPr="001F2C28">
        <w:t>both</w:t>
      </w:r>
      <w:r w:rsidRPr="001F2C28">
        <w:t xml:space="preserve"> of the following criteria </w:t>
      </w:r>
      <w:r w:rsidR="00C541B5" w:rsidRPr="001F2C28">
        <w:t xml:space="preserve">are </w:t>
      </w:r>
      <w:r w:rsidRPr="001F2C28">
        <w:t>met:</w:t>
      </w:r>
    </w:p>
    <w:p w14:paraId="1709244D" w14:textId="6EA118F7" w:rsidR="00C541B5" w:rsidRPr="001F2C28" w:rsidRDefault="00C541B5" w:rsidP="00C541B5">
      <w:pPr>
        <w:pStyle w:val="ListParagraph"/>
        <w:numPr>
          <w:ilvl w:val="0"/>
          <w:numId w:val="194"/>
        </w:numPr>
      </w:pPr>
      <w:r w:rsidRPr="001F2C28">
        <w:t>Member is currently receiving the requested medication or another growth hormone product (e.g., Norditropin) indicated for adult GH deficiency</w:t>
      </w:r>
    </w:p>
    <w:p w14:paraId="52339B34" w14:textId="3547BBEF" w:rsidR="000E392F" w:rsidRPr="001F2C28" w:rsidRDefault="00C541B5" w:rsidP="003A6495">
      <w:pPr>
        <w:pStyle w:val="ListParagraph"/>
        <w:keepNext/>
        <w:keepLines/>
        <w:numPr>
          <w:ilvl w:val="0"/>
          <w:numId w:val="194"/>
        </w:numPr>
      </w:pPr>
      <w:r w:rsidRPr="001F2C28">
        <w:lastRenderedPageBreak/>
        <w:t>Member meets ANY of the following criteria:</w:t>
      </w:r>
    </w:p>
    <w:p w14:paraId="3049564B" w14:textId="0FD9EEB2" w:rsidR="000E392F" w:rsidRPr="001F2C28" w:rsidRDefault="000E392F" w:rsidP="003A1066">
      <w:pPr>
        <w:pStyle w:val="ListParagraph"/>
        <w:numPr>
          <w:ilvl w:val="1"/>
          <w:numId w:val="195"/>
        </w:numPr>
        <w:ind w:left="1440"/>
      </w:pPr>
      <w:r w:rsidRPr="001F2C28">
        <w:t>Current IGF-1 level is not elevated for age and gender</w:t>
      </w:r>
    </w:p>
    <w:p w14:paraId="45A067AD" w14:textId="385F17CB" w:rsidR="000E392F" w:rsidRPr="001F2C28" w:rsidRDefault="000E392F" w:rsidP="006D3888">
      <w:pPr>
        <w:pStyle w:val="ListParagraph"/>
        <w:keepLines/>
        <w:numPr>
          <w:ilvl w:val="1"/>
          <w:numId w:val="199"/>
        </w:numPr>
        <w:ind w:left="1440"/>
      </w:pPr>
      <w:r w:rsidRPr="001F2C28">
        <w:t xml:space="preserve">Member has organic hypothalamic-pituitary disease (e.g., suprasellar mass with previous surgery and cranial irradiation) with </w:t>
      </w:r>
      <w:r w:rsidRPr="001F2C28">
        <w:rPr>
          <w:rFonts w:ascii="Arial" w:hAnsi="Arial"/>
        </w:rPr>
        <w:t>≥</w:t>
      </w:r>
      <w:r w:rsidRPr="001F2C28">
        <w:t xml:space="preserve"> 3 documented pituitary hormone deficiencies (</w:t>
      </w:r>
      <w:r w:rsidR="00C541B5" w:rsidRPr="001F2C28">
        <w:t>see</w:t>
      </w:r>
      <w:r w:rsidRPr="001F2C28">
        <w:t xml:space="preserve"> Appendix B)</w:t>
      </w:r>
    </w:p>
    <w:p w14:paraId="59D3D2D2" w14:textId="401F40C8" w:rsidR="000E392F" w:rsidRPr="001F2C28" w:rsidRDefault="000E392F" w:rsidP="00D331A8">
      <w:pPr>
        <w:pStyle w:val="ListParagraph"/>
        <w:numPr>
          <w:ilvl w:val="1"/>
          <w:numId w:val="225"/>
        </w:numPr>
        <w:ind w:left="1440"/>
      </w:pPr>
      <w:r w:rsidRPr="001F2C28">
        <w:t xml:space="preserve">Member has genetic or </w:t>
      </w:r>
      <w:r w:rsidR="00295EC7" w:rsidRPr="001F2C28">
        <w:t xml:space="preserve">congenital </w:t>
      </w:r>
      <w:r w:rsidRPr="001F2C28">
        <w:t>structural hypothalamic-pituitary defects (</w:t>
      </w:r>
      <w:r w:rsidR="00C541B5" w:rsidRPr="001F2C28">
        <w:t>see</w:t>
      </w:r>
      <w:r w:rsidRPr="001F2C28">
        <w:t xml:space="preserve"> Appendix C)</w:t>
      </w:r>
      <w:r w:rsidR="00295EC7" w:rsidRPr="001F2C28">
        <w:rPr>
          <w:vertAlign w:val="superscript"/>
        </w:rPr>
        <w:t>26</w:t>
      </w:r>
    </w:p>
    <w:p w14:paraId="477223B6" w14:textId="3E3FDD05" w:rsidR="000E392F" w:rsidRPr="001F2C28" w:rsidRDefault="000E392F" w:rsidP="00192FFF">
      <w:pPr>
        <w:pStyle w:val="ListParagraph"/>
        <w:numPr>
          <w:ilvl w:val="1"/>
          <w:numId w:val="231"/>
        </w:numPr>
        <w:ind w:left="1440"/>
      </w:pPr>
      <w:r w:rsidRPr="001F2C28">
        <w:t>Member has childhood-onset GH deficiency and a congenital abnormality of the CNS, hypothalamus</w:t>
      </w:r>
      <w:r w:rsidR="00295EC7" w:rsidRPr="001F2C28">
        <w:t>,</w:t>
      </w:r>
      <w:r w:rsidRPr="001F2C28">
        <w:t xml:space="preserve"> or pituitary (</w:t>
      </w:r>
      <w:r w:rsidR="00C541B5" w:rsidRPr="001F2C28">
        <w:t>see</w:t>
      </w:r>
      <w:r w:rsidRPr="001F2C28">
        <w:t xml:space="preserve"> Appendix C)</w:t>
      </w:r>
      <w:r w:rsidRPr="001F2C28">
        <w:rPr>
          <w:vertAlign w:val="superscript"/>
        </w:rPr>
        <w:t>1</w:t>
      </w:r>
      <w:r w:rsidR="00295EC7" w:rsidRPr="001F2C28">
        <w:rPr>
          <w:vertAlign w:val="superscript"/>
        </w:rPr>
        <w:t>8</w:t>
      </w:r>
      <w:r w:rsidRPr="001F2C28">
        <w:rPr>
          <w:vertAlign w:val="superscript"/>
        </w:rPr>
        <w:t>,2</w:t>
      </w:r>
      <w:r w:rsidR="00295EC7" w:rsidRPr="001F2C28">
        <w:rPr>
          <w:vertAlign w:val="superscript"/>
        </w:rPr>
        <w:t>4</w:t>
      </w:r>
      <w:r w:rsidRPr="001F2C28">
        <w:rPr>
          <w:vertAlign w:val="superscript"/>
        </w:rPr>
        <w:t>,</w:t>
      </w:r>
      <w:r w:rsidR="00295EC7" w:rsidRPr="001F2C28">
        <w:rPr>
          <w:vertAlign w:val="superscript"/>
        </w:rPr>
        <w:t>26</w:t>
      </w:r>
    </w:p>
    <w:p w14:paraId="784D6ED7" w14:textId="0D0CF1F3" w:rsidR="008B1332" w:rsidRPr="001F2C28" w:rsidRDefault="003B057C" w:rsidP="008B1332">
      <w:pPr>
        <w:pStyle w:val="Heading2"/>
      </w:pPr>
      <w:r w:rsidRPr="001F2C28">
        <w:t>Appendix</w:t>
      </w:r>
    </w:p>
    <w:p w14:paraId="55C54D25" w14:textId="5B6AEC1A" w:rsidR="002C544C" w:rsidRPr="001F2C28" w:rsidRDefault="002C544C" w:rsidP="00906250">
      <w:pPr>
        <w:pStyle w:val="Heading3"/>
      </w:pPr>
      <w:r w:rsidRPr="001F2C28">
        <w:t>Appendix A: Examples of Hypothalamic/Pituitary/CNS Disorders</w:t>
      </w:r>
      <w:r w:rsidR="00295EC7" w:rsidRPr="001F2C28">
        <w:rPr>
          <w:vertAlign w:val="superscript"/>
        </w:rPr>
        <w:t>19</w:t>
      </w:r>
      <w:r w:rsidRPr="001F2C28">
        <w:rPr>
          <w:vertAlign w:val="superscript"/>
        </w:rPr>
        <w:t>,</w:t>
      </w:r>
      <w:r w:rsidR="00295EC7" w:rsidRPr="001F2C28">
        <w:rPr>
          <w:vertAlign w:val="superscript"/>
        </w:rPr>
        <w:t>24-26</w:t>
      </w:r>
    </w:p>
    <w:p w14:paraId="0D2D63E7" w14:textId="438F137C" w:rsidR="002C544C" w:rsidRPr="001F2C28" w:rsidRDefault="002C544C" w:rsidP="00906250">
      <w:pPr>
        <w:pStyle w:val="ListParagraph"/>
        <w:numPr>
          <w:ilvl w:val="0"/>
          <w:numId w:val="206"/>
        </w:numPr>
      </w:pPr>
      <w:r w:rsidRPr="001F2C28">
        <w:t>Congenital genetic abnormalities</w:t>
      </w:r>
    </w:p>
    <w:p w14:paraId="215E5821" w14:textId="5736094F" w:rsidR="002C544C" w:rsidRPr="001F2C28" w:rsidRDefault="002C544C" w:rsidP="007851E4">
      <w:pPr>
        <w:pStyle w:val="ListParagraph"/>
        <w:numPr>
          <w:ilvl w:val="1"/>
          <w:numId w:val="209"/>
        </w:numPr>
        <w:ind w:left="1440"/>
      </w:pPr>
      <w:r w:rsidRPr="001F2C28">
        <w:t>Transcription factor defects (PIT-1, PROP-1, LHX3/4, HESX-1, PITX-2)</w:t>
      </w:r>
    </w:p>
    <w:p w14:paraId="3B67C135" w14:textId="78255D85" w:rsidR="002C544C" w:rsidRPr="001F2C28" w:rsidRDefault="002C544C" w:rsidP="007851E4">
      <w:pPr>
        <w:pStyle w:val="ListParagraph"/>
        <w:numPr>
          <w:ilvl w:val="1"/>
          <w:numId w:val="209"/>
        </w:numPr>
        <w:ind w:left="1440"/>
      </w:pPr>
      <w:r w:rsidRPr="001F2C28">
        <w:t>Growth hormone releasing hormone (GHRH) receptor gene defects</w:t>
      </w:r>
    </w:p>
    <w:p w14:paraId="166BD237" w14:textId="45592774" w:rsidR="002C544C" w:rsidRPr="001F2C28" w:rsidRDefault="002C544C" w:rsidP="007851E4">
      <w:pPr>
        <w:pStyle w:val="ListParagraph"/>
        <w:numPr>
          <w:ilvl w:val="1"/>
          <w:numId w:val="209"/>
        </w:numPr>
        <w:ind w:left="1440"/>
      </w:pPr>
      <w:r w:rsidRPr="001F2C28">
        <w:t>GH secretagogue receptor gene defects</w:t>
      </w:r>
    </w:p>
    <w:p w14:paraId="416C5827" w14:textId="08FCA4BA" w:rsidR="002C544C" w:rsidRPr="001F2C28" w:rsidRDefault="002C544C" w:rsidP="007851E4">
      <w:pPr>
        <w:pStyle w:val="ListParagraph"/>
        <w:numPr>
          <w:ilvl w:val="1"/>
          <w:numId w:val="209"/>
        </w:numPr>
        <w:ind w:left="1440"/>
      </w:pPr>
      <w:r w:rsidRPr="001F2C28">
        <w:t>GH gene defects</w:t>
      </w:r>
    </w:p>
    <w:p w14:paraId="747EB7A4" w14:textId="44AAAE6D" w:rsidR="002C544C" w:rsidRPr="001F2C28" w:rsidRDefault="002C544C" w:rsidP="00DE1CC7">
      <w:pPr>
        <w:pStyle w:val="ListParagraph"/>
        <w:keepNext/>
        <w:keepLines/>
        <w:numPr>
          <w:ilvl w:val="0"/>
          <w:numId w:val="206"/>
        </w:numPr>
      </w:pPr>
      <w:r w:rsidRPr="001F2C28">
        <w:t>Congenital structural abnormalities</w:t>
      </w:r>
    </w:p>
    <w:p w14:paraId="3C5808DD" w14:textId="62F25972" w:rsidR="002C544C" w:rsidRPr="001F2C28" w:rsidRDefault="002C544C" w:rsidP="00DE1CC7">
      <w:pPr>
        <w:pStyle w:val="ListParagraph"/>
        <w:keepNext/>
        <w:keepLines/>
        <w:numPr>
          <w:ilvl w:val="1"/>
          <w:numId w:val="210"/>
        </w:numPr>
        <w:ind w:left="1440"/>
        <w:rPr>
          <w:lang w:val="es-ES"/>
        </w:rPr>
      </w:pPr>
      <w:proofErr w:type="spellStart"/>
      <w:r w:rsidRPr="001F2C28">
        <w:rPr>
          <w:lang w:val="es-ES"/>
        </w:rPr>
        <w:t>Optic</w:t>
      </w:r>
      <w:proofErr w:type="spellEnd"/>
      <w:r w:rsidRPr="001F2C28">
        <w:rPr>
          <w:lang w:val="es-ES"/>
        </w:rPr>
        <w:t xml:space="preserve"> </w:t>
      </w:r>
      <w:proofErr w:type="spellStart"/>
      <w:r w:rsidRPr="001F2C28">
        <w:rPr>
          <w:lang w:val="es-ES"/>
        </w:rPr>
        <w:t>nerve</w:t>
      </w:r>
      <w:proofErr w:type="spellEnd"/>
      <w:r w:rsidRPr="001F2C28">
        <w:rPr>
          <w:lang w:val="es-ES"/>
        </w:rPr>
        <w:t xml:space="preserve"> </w:t>
      </w:r>
      <w:proofErr w:type="spellStart"/>
      <w:r w:rsidRPr="001F2C28">
        <w:rPr>
          <w:lang w:val="es-ES"/>
        </w:rPr>
        <w:t>hypoplasia</w:t>
      </w:r>
      <w:proofErr w:type="spellEnd"/>
      <w:r w:rsidRPr="001F2C28">
        <w:rPr>
          <w:lang w:val="es-ES"/>
        </w:rPr>
        <w:t>/septo-</w:t>
      </w:r>
      <w:proofErr w:type="spellStart"/>
      <w:r w:rsidRPr="001F2C28">
        <w:rPr>
          <w:lang w:val="es-ES"/>
        </w:rPr>
        <w:t>optic</w:t>
      </w:r>
      <w:proofErr w:type="spellEnd"/>
      <w:r w:rsidRPr="001F2C28">
        <w:rPr>
          <w:lang w:val="es-ES"/>
        </w:rPr>
        <w:t xml:space="preserve"> </w:t>
      </w:r>
      <w:proofErr w:type="spellStart"/>
      <w:r w:rsidRPr="001F2C28">
        <w:rPr>
          <w:lang w:val="es-ES"/>
        </w:rPr>
        <w:t>dysplasia</w:t>
      </w:r>
      <w:proofErr w:type="spellEnd"/>
    </w:p>
    <w:p w14:paraId="1858CA8C" w14:textId="065E600E" w:rsidR="002C544C" w:rsidRPr="001F2C28" w:rsidRDefault="002C544C" w:rsidP="00DE1CC7">
      <w:pPr>
        <w:pStyle w:val="ListParagraph"/>
        <w:keepNext/>
        <w:keepLines/>
        <w:numPr>
          <w:ilvl w:val="1"/>
          <w:numId w:val="210"/>
        </w:numPr>
        <w:ind w:left="1440"/>
      </w:pPr>
      <w:r w:rsidRPr="001F2C28">
        <w:t>Agenesis of corpus callosum</w:t>
      </w:r>
    </w:p>
    <w:p w14:paraId="215F228B" w14:textId="0F4612EA" w:rsidR="002C544C" w:rsidRPr="001F2C28" w:rsidRDefault="002C544C" w:rsidP="00DE1CC7">
      <w:pPr>
        <w:pStyle w:val="ListParagraph"/>
        <w:keepNext/>
        <w:keepLines/>
        <w:numPr>
          <w:ilvl w:val="1"/>
          <w:numId w:val="210"/>
        </w:numPr>
        <w:ind w:left="1440"/>
      </w:pPr>
      <w:r w:rsidRPr="001F2C28">
        <w:t>Empty sella syndrome</w:t>
      </w:r>
    </w:p>
    <w:p w14:paraId="59BD057D" w14:textId="2CB8F032" w:rsidR="002C544C" w:rsidRPr="001F2C28" w:rsidRDefault="002C544C" w:rsidP="00DE1CC7">
      <w:pPr>
        <w:pStyle w:val="ListParagraph"/>
        <w:keepNext/>
        <w:keepLines/>
        <w:numPr>
          <w:ilvl w:val="1"/>
          <w:numId w:val="210"/>
        </w:numPr>
        <w:ind w:left="1440"/>
      </w:pPr>
      <w:r w:rsidRPr="001F2C28">
        <w:t>Ectopic posterior pituitary</w:t>
      </w:r>
    </w:p>
    <w:p w14:paraId="438861D4" w14:textId="6D97B34E" w:rsidR="002C544C" w:rsidRPr="001F2C28" w:rsidRDefault="002C544C" w:rsidP="00DE1CC7">
      <w:pPr>
        <w:pStyle w:val="ListParagraph"/>
        <w:keepNext/>
        <w:keepLines/>
        <w:numPr>
          <w:ilvl w:val="1"/>
          <w:numId w:val="210"/>
        </w:numPr>
        <w:ind w:left="1440"/>
      </w:pPr>
      <w:r w:rsidRPr="001F2C28">
        <w:t>Pituitary aplasia/hypoplasia</w:t>
      </w:r>
    </w:p>
    <w:p w14:paraId="621DDE8D" w14:textId="6FC69658" w:rsidR="002C544C" w:rsidRPr="001F2C28" w:rsidRDefault="002C544C" w:rsidP="00DE1CC7">
      <w:pPr>
        <w:pStyle w:val="ListParagraph"/>
        <w:keepNext/>
        <w:keepLines/>
        <w:numPr>
          <w:ilvl w:val="1"/>
          <w:numId w:val="210"/>
        </w:numPr>
        <w:ind w:left="1440"/>
      </w:pPr>
      <w:r w:rsidRPr="001F2C28">
        <w:t>Pituitary stalk defect</w:t>
      </w:r>
    </w:p>
    <w:p w14:paraId="2EEFAD93" w14:textId="7DADE2B4" w:rsidR="002C544C" w:rsidRPr="001F2C28" w:rsidRDefault="002C544C" w:rsidP="00DE1CC7">
      <w:pPr>
        <w:pStyle w:val="ListParagraph"/>
        <w:keepNext/>
        <w:keepLines/>
        <w:numPr>
          <w:ilvl w:val="1"/>
          <w:numId w:val="210"/>
        </w:numPr>
        <w:ind w:left="1440"/>
      </w:pPr>
      <w:r w:rsidRPr="001F2C28">
        <w:t>Holoprosencephaly</w:t>
      </w:r>
    </w:p>
    <w:p w14:paraId="3BE2BEE3" w14:textId="7E9308CA" w:rsidR="002C544C" w:rsidRPr="001F2C28" w:rsidRDefault="002C544C" w:rsidP="00DE1CC7">
      <w:pPr>
        <w:pStyle w:val="ListParagraph"/>
        <w:keepNext/>
        <w:keepLines/>
        <w:numPr>
          <w:ilvl w:val="1"/>
          <w:numId w:val="210"/>
        </w:numPr>
        <w:ind w:left="1440"/>
      </w:pPr>
      <w:r w:rsidRPr="001F2C28">
        <w:t>Encephalocele</w:t>
      </w:r>
    </w:p>
    <w:p w14:paraId="04C1E62E" w14:textId="34571AC9" w:rsidR="002C544C" w:rsidRPr="001F2C28" w:rsidRDefault="002C544C" w:rsidP="00DE1CC7">
      <w:pPr>
        <w:pStyle w:val="ListParagraph"/>
        <w:keepNext/>
        <w:keepLines/>
        <w:numPr>
          <w:ilvl w:val="1"/>
          <w:numId w:val="210"/>
        </w:numPr>
        <w:ind w:left="1440"/>
      </w:pPr>
      <w:r w:rsidRPr="001F2C28">
        <w:t>Hydrocephalus</w:t>
      </w:r>
    </w:p>
    <w:p w14:paraId="1DA832C7" w14:textId="30829419" w:rsidR="002C544C" w:rsidRPr="001F2C28" w:rsidRDefault="002C544C" w:rsidP="00DE1CC7">
      <w:pPr>
        <w:pStyle w:val="ListParagraph"/>
        <w:keepNext/>
        <w:keepLines/>
        <w:numPr>
          <w:ilvl w:val="1"/>
          <w:numId w:val="210"/>
        </w:numPr>
        <w:ind w:left="1440"/>
      </w:pPr>
      <w:r w:rsidRPr="001F2C28">
        <w:t xml:space="preserve">Anencephaly or </w:t>
      </w:r>
      <w:proofErr w:type="spellStart"/>
      <w:r w:rsidRPr="001F2C28">
        <w:t>prosencephaly</w:t>
      </w:r>
      <w:proofErr w:type="spellEnd"/>
    </w:p>
    <w:p w14:paraId="58B0BB62" w14:textId="598EA347" w:rsidR="002C544C" w:rsidRPr="001F2C28" w:rsidRDefault="002C544C" w:rsidP="00DE1CC7">
      <w:pPr>
        <w:pStyle w:val="ListParagraph"/>
        <w:keepNext/>
        <w:keepLines/>
        <w:numPr>
          <w:ilvl w:val="1"/>
          <w:numId w:val="210"/>
        </w:numPr>
        <w:ind w:left="1440"/>
      </w:pPr>
      <w:r w:rsidRPr="001F2C28">
        <w:t>Arachnoid cyst</w:t>
      </w:r>
    </w:p>
    <w:p w14:paraId="0F117632" w14:textId="129A8C9B" w:rsidR="002C544C" w:rsidRPr="001F2C28" w:rsidRDefault="002C544C" w:rsidP="00DE1CC7">
      <w:pPr>
        <w:pStyle w:val="ListParagraph"/>
        <w:keepNext/>
        <w:keepLines/>
        <w:numPr>
          <w:ilvl w:val="1"/>
          <w:numId w:val="210"/>
        </w:numPr>
        <w:ind w:left="1440"/>
      </w:pPr>
      <w:r w:rsidRPr="001F2C28">
        <w:t>Other mid-line facial defects (e.g., single central incisor, cleft lip/palate)</w:t>
      </w:r>
    </w:p>
    <w:p w14:paraId="2BF01C9B" w14:textId="1C784CBD" w:rsidR="002C544C" w:rsidRPr="001F2C28" w:rsidRDefault="002C544C" w:rsidP="00DE1CC7">
      <w:pPr>
        <w:pStyle w:val="ListParagraph"/>
        <w:keepNext/>
        <w:keepLines/>
        <w:numPr>
          <w:ilvl w:val="1"/>
          <w:numId w:val="210"/>
        </w:numPr>
        <w:ind w:left="1440"/>
      </w:pPr>
      <w:r w:rsidRPr="001F2C28">
        <w:t>Vascular malformations</w:t>
      </w:r>
    </w:p>
    <w:p w14:paraId="358621E1" w14:textId="4E24B757" w:rsidR="002C544C" w:rsidRPr="001F2C28" w:rsidRDefault="002C544C" w:rsidP="00DE1CC7">
      <w:pPr>
        <w:pStyle w:val="ListParagraph"/>
        <w:numPr>
          <w:ilvl w:val="0"/>
          <w:numId w:val="206"/>
        </w:numPr>
      </w:pPr>
      <w:r w:rsidRPr="001F2C28">
        <w:t>Acquired structural abnormalities (or causes of hypothalamic/pituitary damage)</w:t>
      </w:r>
    </w:p>
    <w:p w14:paraId="75CE77B9" w14:textId="719A65C9" w:rsidR="002C544C" w:rsidRPr="001F2C28" w:rsidRDefault="002C544C" w:rsidP="00DE1CC7">
      <w:pPr>
        <w:pStyle w:val="ListParagraph"/>
        <w:numPr>
          <w:ilvl w:val="1"/>
          <w:numId w:val="230"/>
        </w:numPr>
        <w:ind w:left="1440"/>
      </w:pPr>
      <w:r w:rsidRPr="001F2C28">
        <w:t>CNS tumors/neoplasms (e.g., craniopharyngioma, glioma/astrocytoma, pituitary adenoma, germinoma)</w:t>
      </w:r>
    </w:p>
    <w:p w14:paraId="0CD3DCE3" w14:textId="4B3FC069" w:rsidR="002C544C" w:rsidRPr="001F2C28" w:rsidRDefault="002C544C" w:rsidP="00DE1CC7">
      <w:pPr>
        <w:pStyle w:val="ListParagraph"/>
        <w:numPr>
          <w:ilvl w:val="1"/>
          <w:numId w:val="230"/>
        </w:numPr>
        <w:ind w:left="1440"/>
      </w:pPr>
      <w:r w:rsidRPr="001F2C28">
        <w:t>Cysts (Rathke cleft cyst or arachnoid cleft cyst)</w:t>
      </w:r>
    </w:p>
    <w:p w14:paraId="36CD9A80" w14:textId="67C567AA" w:rsidR="002C544C" w:rsidRPr="001F2C28" w:rsidRDefault="002C544C" w:rsidP="00DE1CC7">
      <w:pPr>
        <w:pStyle w:val="ListParagraph"/>
        <w:numPr>
          <w:ilvl w:val="1"/>
          <w:numId w:val="230"/>
        </w:numPr>
        <w:ind w:left="1440"/>
      </w:pPr>
      <w:r w:rsidRPr="001F2C28">
        <w:t>Surgery</w:t>
      </w:r>
    </w:p>
    <w:p w14:paraId="08ACF685" w14:textId="1B26D7B3" w:rsidR="002C544C" w:rsidRPr="001F2C28" w:rsidRDefault="002C544C" w:rsidP="00DE1CC7">
      <w:pPr>
        <w:pStyle w:val="ListParagraph"/>
        <w:numPr>
          <w:ilvl w:val="1"/>
          <w:numId w:val="230"/>
        </w:numPr>
        <w:ind w:left="1440"/>
      </w:pPr>
      <w:r w:rsidRPr="001F2C28">
        <w:t>Radiation</w:t>
      </w:r>
    </w:p>
    <w:p w14:paraId="6E7A13DF" w14:textId="23426B7A" w:rsidR="002C544C" w:rsidRPr="001F2C28" w:rsidRDefault="002C544C" w:rsidP="00DE1CC7">
      <w:pPr>
        <w:pStyle w:val="ListParagraph"/>
        <w:numPr>
          <w:ilvl w:val="1"/>
          <w:numId w:val="230"/>
        </w:numPr>
        <w:ind w:left="1440"/>
      </w:pPr>
      <w:r w:rsidRPr="001F2C28">
        <w:t>Chemotherap</w:t>
      </w:r>
      <w:r w:rsidR="00471D60" w:rsidRPr="001F2C28">
        <w:t>y</w:t>
      </w:r>
    </w:p>
    <w:p w14:paraId="5C593DC2" w14:textId="7A0C023E" w:rsidR="002C544C" w:rsidRPr="001F2C28" w:rsidRDefault="002C544C" w:rsidP="00DE1CC7">
      <w:pPr>
        <w:pStyle w:val="ListParagraph"/>
        <w:numPr>
          <w:ilvl w:val="1"/>
          <w:numId w:val="230"/>
        </w:numPr>
        <w:ind w:left="1440"/>
      </w:pPr>
      <w:r w:rsidRPr="001F2C28">
        <w:t>CNS infections</w:t>
      </w:r>
    </w:p>
    <w:p w14:paraId="66A31D1B" w14:textId="5A9F5A36" w:rsidR="002C544C" w:rsidRPr="001F2C28" w:rsidRDefault="002C544C" w:rsidP="00DE1CC7">
      <w:pPr>
        <w:pStyle w:val="ListParagraph"/>
        <w:numPr>
          <w:ilvl w:val="1"/>
          <w:numId w:val="230"/>
        </w:numPr>
        <w:ind w:left="1440"/>
      </w:pPr>
      <w:r w:rsidRPr="001F2C28">
        <w:lastRenderedPageBreak/>
        <w:t>CNS infarction</w:t>
      </w:r>
    </w:p>
    <w:p w14:paraId="1AA088A6" w14:textId="4142B960" w:rsidR="002C544C" w:rsidRPr="001F2C28" w:rsidRDefault="002C544C" w:rsidP="00DE1CC7">
      <w:pPr>
        <w:pStyle w:val="ListParagraph"/>
        <w:numPr>
          <w:ilvl w:val="1"/>
          <w:numId w:val="230"/>
        </w:numPr>
        <w:ind w:left="1440"/>
      </w:pPr>
      <w:r w:rsidRPr="001F2C28">
        <w:t>Inflammatory processes (e.g., autoimmune hypophysitis)</w:t>
      </w:r>
    </w:p>
    <w:p w14:paraId="1BA71B1A" w14:textId="37CE7084" w:rsidR="002C544C" w:rsidRPr="001F2C28" w:rsidRDefault="002C544C" w:rsidP="00DE1CC7">
      <w:pPr>
        <w:pStyle w:val="ListParagraph"/>
        <w:numPr>
          <w:ilvl w:val="1"/>
          <w:numId w:val="230"/>
        </w:numPr>
        <w:ind w:left="1440"/>
      </w:pPr>
      <w:r w:rsidRPr="001F2C28">
        <w:t>Infiltrative processes (e.g., sarcoidosis, histiocytosis, hemochromatosis)</w:t>
      </w:r>
    </w:p>
    <w:p w14:paraId="74C78344" w14:textId="05BF4D3A" w:rsidR="002C544C" w:rsidRPr="001F2C28" w:rsidRDefault="002C544C" w:rsidP="00DE1CC7">
      <w:pPr>
        <w:pStyle w:val="ListParagraph"/>
        <w:numPr>
          <w:ilvl w:val="1"/>
          <w:numId w:val="230"/>
        </w:numPr>
        <w:ind w:left="1440"/>
      </w:pPr>
      <w:r w:rsidRPr="001F2C28">
        <w:t>Head trauma/traumatic brain injury</w:t>
      </w:r>
    </w:p>
    <w:p w14:paraId="2503CB34" w14:textId="215DB59F" w:rsidR="002C544C" w:rsidRPr="001F2C28" w:rsidRDefault="002C544C" w:rsidP="00DE1CC7">
      <w:pPr>
        <w:pStyle w:val="ListParagraph"/>
        <w:numPr>
          <w:ilvl w:val="1"/>
          <w:numId w:val="230"/>
        </w:numPr>
        <w:ind w:left="1440"/>
      </w:pPr>
      <w:r w:rsidRPr="001F2C28">
        <w:t>Aneurysmal subarachnoid hemorrhage</w:t>
      </w:r>
    </w:p>
    <w:p w14:paraId="1D975B57" w14:textId="1702524F" w:rsidR="002C544C" w:rsidRPr="001F2C28" w:rsidRDefault="002C544C" w:rsidP="00DE1CC7">
      <w:pPr>
        <w:pStyle w:val="ListParagraph"/>
        <w:numPr>
          <w:ilvl w:val="1"/>
          <w:numId w:val="230"/>
        </w:numPr>
        <w:ind w:left="1440"/>
      </w:pPr>
      <w:r w:rsidRPr="001F2C28">
        <w:t>Perinatal or postnatal trauma</w:t>
      </w:r>
    </w:p>
    <w:p w14:paraId="270995F2" w14:textId="4F1C68EE" w:rsidR="002C544C" w:rsidRPr="001F2C28" w:rsidRDefault="002C544C" w:rsidP="00DE1CC7">
      <w:pPr>
        <w:pStyle w:val="ListParagraph"/>
        <w:numPr>
          <w:ilvl w:val="1"/>
          <w:numId w:val="230"/>
        </w:numPr>
        <w:ind w:left="1440"/>
      </w:pPr>
      <w:r w:rsidRPr="001F2C28">
        <w:t>Surgery of the pituitary or hypothalamus</w:t>
      </w:r>
    </w:p>
    <w:p w14:paraId="35CA2F8B" w14:textId="58A8FB7F" w:rsidR="002C544C" w:rsidRPr="001F2C28" w:rsidRDefault="002C544C" w:rsidP="00906250">
      <w:pPr>
        <w:pStyle w:val="Heading3"/>
      </w:pPr>
      <w:r w:rsidRPr="001F2C28">
        <w:t>Appendix B: Pituitary Hormones (Other than Growth Hormone)</w:t>
      </w:r>
    </w:p>
    <w:p w14:paraId="288EBE0A" w14:textId="3AFB7921" w:rsidR="002C544C" w:rsidRPr="001F2C28" w:rsidRDefault="002C544C" w:rsidP="00906250">
      <w:pPr>
        <w:pStyle w:val="ListParagraph"/>
        <w:numPr>
          <w:ilvl w:val="0"/>
          <w:numId w:val="207"/>
        </w:numPr>
      </w:pPr>
      <w:r w:rsidRPr="001F2C28">
        <w:t>Adrenocorticotropic hormone (ACTH)</w:t>
      </w:r>
    </w:p>
    <w:p w14:paraId="071D579C" w14:textId="62EB4AB8" w:rsidR="002C544C" w:rsidRPr="001F2C28" w:rsidRDefault="002C544C" w:rsidP="00906250">
      <w:pPr>
        <w:pStyle w:val="ListParagraph"/>
        <w:numPr>
          <w:ilvl w:val="0"/>
          <w:numId w:val="207"/>
        </w:numPr>
      </w:pPr>
      <w:r w:rsidRPr="001F2C28">
        <w:t>Antidiuretic hormone (ADH)</w:t>
      </w:r>
    </w:p>
    <w:p w14:paraId="0BB6A436" w14:textId="1627D18A" w:rsidR="002C544C" w:rsidRPr="001F2C28" w:rsidRDefault="002C544C" w:rsidP="00906250">
      <w:pPr>
        <w:pStyle w:val="ListParagraph"/>
        <w:numPr>
          <w:ilvl w:val="0"/>
          <w:numId w:val="207"/>
        </w:numPr>
      </w:pPr>
      <w:r w:rsidRPr="001F2C28">
        <w:t>Follicle stimulating hormone (FSH)</w:t>
      </w:r>
    </w:p>
    <w:p w14:paraId="78C6695B" w14:textId="4DA883B1" w:rsidR="002C544C" w:rsidRPr="001F2C28" w:rsidRDefault="002C544C" w:rsidP="00906250">
      <w:pPr>
        <w:pStyle w:val="ListParagraph"/>
        <w:numPr>
          <w:ilvl w:val="0"/>
          <w:numId w:val="207"/>
        </w:numPr>
      </w:pPr>
      <w:r w:rsidRPr="001F2C28">
        <w:t>Luteinizing hormone (LH)</w:t>
      </w:r>
    </w:p>
    <w:p w14:paraId="6EC4BBAC" w14:textId="712CAE5B" w:rsidR="002C544C" w:rsidRPr="001F2C28" w:rsidRDefault="002C544C" w:rsidP="00906250">
      <w:pPr>
        <w:pStyle w:val="ListParagraph"/>
        <w:numPr>
          <w:ilvl w:val="0"/>
          <w:numId w:val="207"/>
        </w:numPr>
      </w:pPr>
      <w:r w:rsidRPr="001F2C28">
        <w:t>Thyroid stimulating hormone (TSH)</w:t>
      </w:r>
    </w:p>
    <w:p w14:paraId="70F9A2CA" w14:textId="1B28060C" w:rsidR="002C544C" w:rsidRPr="001F2C28" w:rsidRDefault="002C544C" w:rsidP="00906250">
      <w:pPr>
        <w:pStyle w:val="ListParagraph"/>
        <w:numPr>
          <w:ilvl w:val="0"/>
          <w:numId w:val="207"/>
        </w:numPr>
      </w:pPr>
      <w:r w:rsidRPr="001F2C28">
        <w:t>Prolactin</w:t>
      </w:r>
    </w:p>
    <w:p w14:paraId="33E7249B" w14:textId="362C62EE" w:rsidR="002C544C" w:rsidRPr="001F2C28" w:rsidRDefault="002C544C" w:rsidP="00906250">
      <w:pPr>
        <w:pStyle w:val="Heading3"/>
      </w:pPr>
      <w:r w:rsidRPr="001F2C28">
        <w:t>Appendix C: Requirements for GH-Stimulation Testing in Adults</w:t>
      </w:r>
      <w:r w:rsidR="00295EC7" w:rsidRPr="001F2C28">
        <w:rPr>
          <w:vertAlign w:val="superscript"/>
        </w:rPr>
        <w:t>26</w:t>
      </w:r>
    </w:p>
    <w:p w14:paraId="457426A6" w14:textId="1AAF9649" w:rsidR="002C544C" w:rsidRPr="001F2C28" w:rsidRDefault="002C544C" w:rsidP="00C456FE">
      <w:pPr>
        <w:pStyle w:val="ListParagraph"/>
        <w:keepNext/>
        <w:keepLines/>
        <w:numPr>
          <w:ilvl w:val="0"/>
          <w:numId w:val="208"/>
        </w:numPr>
      </w:pPr>
      <w:r w:rsidRPr="001F2C28">
        <w:t>Testing for adult GHD is not required</w:t>
      </w:r>
    </w:p>
    <w:p w14:paraId="13FB8E11" w14:textId="646B55CA" w:rsidR="002C544C" w:rsidRPr="001F2C28" w:rsidRDefault="002C544C" w:rsidP="007F45AF">
      <w:pPr>
        <w:pStyle w:val="ListParagraph"/>
        <w:numPr>
          <w:ilvl w:val="1"/>
          <w:numId w:val="212"/>
        </w:numPr>
        <w:ind w:left="1440"/>
      </w:pPr>
      <w:r w:rsidRPr="001F2C28">
        <w:t>Three or more pituitary hormone deficiencies and low IGF-1</w:t>
      </w:r>
    </w:p>
    <w:p w14:paraId="3485DAE6" w14:textId="45F66DCF" w:rsidR="002C544C" w:rsidRPr="001F2C28" w:rsidRDefault="002C544C" w:rsidP="007F45AF">
      <w:pPr>
        <w:pStyle w:val="ListParagraph"/>
        <w:numPr>
          <w:ilvl w:val="1"/>
          <w:numId w:val="212"/>
        </w:numPr>
        <w:ind w:left="1440"/>
      </w:pPr>
      <w:r w:rsidRPr="001F2C28">
        <w:t>Congenital structural abnormalities</w:t>
      </w:r>
    </w:p>
    <w:p w14:paraId="0E2B704A" w14:textId="0B27B5C5" w:rsidR="002C544C" w:rsidRPr="001F2C28" w:rsidRDefault="002C544C" w:rsidP="00A86EFA">
      <w:pPr>
        <w:pStyle w:val="ListParagraph"/>
        <w:numPr>
          <w:ilvl w:val="2"/>
          <w:numId w:val="213"/>
        </w:numPr>
        <w:ind w:left="2160"/>
      </w:pPr>
      <w:r w:rsidRPr="001F2C28">
        <w:t>Transcription factor defects (PIT-1, PROP-1, LHX3/4, HESX-1, PITX-2)</w:t>
      </w:r>
    </w:p>
    <w:p w14:paraId="337F8C58" w14:textId="2EACCADC" w:rsidR="002C544C" w:rsidRPr="001F2C28" w:rsidRDefault="002C544C" w:rsidP="00A86EFA">
      <w:pPr>
        <w:pStyle w:val="ListParagraph"/>
        <w:numPr>
          <w:ilvl w:val="2"/>
          <w:numId w:val="213"/>
        </w:numPr>
        <w:ind w:left="2160"/>
      </w:pPr>
      <w:r w:rsidRPr="001F2C28">
        <w:t>GHRH receptor-gene defects</w:t>
      </w:r>
    </w:p>
    <w:p w14:paraId="3F37CE0E" w14:textId="1BE3E483" w:rsidR="002C544C" w:rsidRPr="001F2C28" w:rsidRDefault="002C544C" w:rsidP="00A86EFA">
      <w:pPr>
        <w:pStyle w:val="ListParagraph"/>
        <w:numPr>
          <w:ilvl w:val="2"/>
          <w:numId w:val="213"/>
        </w:numPr>
        <w:ind w:left="2160"/>
      </w:pPr>
      <w:r w:rsidRPr="001F2C28">
        <w:t>GH-gene defects associated with brain structural defects</w:t>
      </w:r>
    </w:p>
    <w:p w14:paraId="5AE8D0DE" w14:textId="33C15B9A" w:rsidR="002C544C" w:rsidRPr="001F2C28" w:rsidRDefault="002C544C" w:rsidP="00A86EFA">
      <w:pPr>
        <w:pStyle w:val="ListParagraph"/>
        <w:numPr>
          <w:ilvl w:val="2"/>
          <w:numId w:val="213"/>
        </w:numPr>
        <w:ind w:left="2160"/>
      </w:pPr>
      <w:r w:rsidRPr="001F2C28">
        <w:t>Single central incisor</w:t>
      </w:r>
    </w:p>
    <w:p w14:paraId="30A1B010" w14:textId="35EF2DEB" w:rsidR="002C544C" w:rsidRPr="001F2C28" w:rsidRDefault="002C544C" w:rsidP="00A86EFA">
      <w:pPr>
        <w:pStyle w:val="ListParagraph"/>
        <w:numPr>
          <w:ilvl w:val="2"/>
          <w:numId w:val="213"/>
        </w:numPr>
        <w:ind w:left="2160"/>
      </w:pPr>
      <w:r w:rsidRPr="001F2C28">
        <w:t>Cleft lip/palate</w:t>
      </w:r>
    </w:p>
    <w:p w14:paraId="45EC205E" w14:textId="1E68F24E" w:rsidR="002C544C" w:rsidRPr="001F2C28" w:rsidRDefault="002C544C" w:rsidP="007F45AF">
      <w:pPr>
        <w:pStyle w:val="ListParagraph"/>
        <w:numPr>
          <w:ilvl w:val="1"/>
          <w:numId w:val="212"/>
        </w:numPr>
        <w:ind w:left="1440"/>
      </w:pPr>
      <w:r w:rsidRPr="001F2C28">
        <w:t>Acquired causes such as perinatal insults</w:t>
      </w:r>
    </w:p>
    <w:p w14:paraId="0EA285BA" w14:textId="78FB035A" w:rsidR="002C544C" w:rsidRPr="001F2C28" w:rsidRDefault="002C544C" w:rsidP="00906250">
      <w:pPr>
        <w:pStyle w:val="ListParagraph"/>
        <w:numPr>
          <w:ilvl w:val="0"/>
          <w:numId w:val="208"/>
        </w:numPr>
      </w:pPr>
      <w:r w:rsidRPr="001F2C28">
        <w:t>Testing for adult GHD is required</w:t>
      </w:r>
    </w:p>
    <w:p w14:paraId="0BF0E04E" w14:textId="29171943" w:rsidR="002C544C" w:rsidRPr="001F2C28" w:rsidRDefault="002C544C" w:rsidP="00A86EFA">
      <w:pPr>
        <w:pStyle w:val="ListParagraph"/>
        <w:numPr>
          <w:ilvl w:val="1"/>
          <w:numId w:val="214"/>
        </w:numPr>
        <w:ind w:left="1440"/>
      </w:pPr>
      <w:r w:rsidRPr="001F2C28">
        <w:t>Acquired</w:t>
      </w:r>
    </w:p>
    <w:p w14:paraId="32D9B880" w14:textId="1E6504F2" w:rsidR="002C544C" w:rsidRPr="001F2C28" w:rsidRDefault="002C544C" w:rsidP="00A86EFA">
      <w:pPr>
        <w:pStyle w:val="ListParagraph"/>
        <w:numPr>
          <w:ilvl w:val="2"/>
          <w:numId w:val="215"/>
        </w:numPr>
        <w:ind w:left="2160"/>
      </w:pPr>
      <w:r w:rsidRPr="001F2C28">
        <w:t>Skull-base lesions</w:t>
      </w:r>
    </w:p>
    <w:p w14:paraId="6587C7C3" w14:textId="7E2473D9" w:rsidR="002C544C" w:rsidRPr="001F2C28" w:rsidRDefault="002C544C" w:rsidP="00A86EFA">
      <w:pPr>
        <w:pStyle w:val="ListParagraph"/>
        <w:numPr>
          <w:ilvl w:val="2"/>
          <w:numId w:val="215"/>
        </w:numPr>
        <w:ind w:left="2160"/>
      </w:pPr>
      <w:r w:rsidRPr="001F2C28">
        <w:t>Pituitary adenoma</w:t>
      </w:r>
    </w:p>
    <w:p w14:paraId="250765B3" w14:textId="577D54A6" w:rsidR="002C544C" w:rsidRPr="001F2C28" w:rsidRDefault="002C544C" w:rsidP="00A86EFA">
      <w:pPr>
        <w:pStyle w:val="ListParagraph"/>
        <w:numPr>
          <w:ilvl w:val="2"/>
          <w:numId w:val="215"/>
        </w:numPr>
        <w:ind w:left="2160"/>
      </w:pPr>
      <w:r w:rsidRPr="001F2C28">
        <w:t>Craniopharyngioma</w:t>
      </w:r>
    </w:p>
    <w:p w14:paraId="27D5400C" w14:textId="573DCC2A" w:rsidR="002C544C" w:rsidRPr="001F2C28" w:rsidRDefault="002C544C" w:rsidP="00A86EFA">
      <w:pPr>
        <w:pStyle w:val="ListParagraph"/>
        <w:numPr>
          <w:ilvl w:val="2"/>
          <w:numId w:val="215"/>
        </w:numPr>
        <w:ind w:left="2160"/>
      </w:pPr>
      <w:r w:rsidRPr="001F2C28">
        <w:t>Rathke’s cleft cyst</w:t>
      </w:r>
    </w:p>
    <w:p w14:paraId="3B06D2CB" w14:textId="78CE4D02" w:rsidR="002C544C" w:rsidRPr="001F2C28" w:rsidRDefault="002C544C" w:rsidP="00A86EFA">
      <w:pPr>
        <w:pStyle w:val="ListParagraph"/>
        <w:numPr>
          <w:ilvl w:val="2"/>
          <w:numId w:val="215"/>
        </w:numPr>
        <w:ind w:left="2160"/>
      </w:pPr>
      <w:r w:rsidRPr="001F2C28">
        <w:t>Meningioma</w:t>
      </w:r>
    </w:p>
    <w:p w14:paraId="0FD185B3" w14:textId="1D6D3932" w:rsidR="002C544C" w:rsidRPr="001F2C28" w:rsidRDefault="002C544C" w:rsidP="00A86EFA">
      <w:pPr>
        <w:pStyle w:val="ListParagraph"/>
        <w:numPr>
          <w:ilvl w:val="2"/>
          <w:numId w:val="215"/>
        </w:numPr>
        <w:ind w:left="2160"/>
      </w:pPr>
      <w:r w:rsidRPr="001F2C28">
        <w:t>Glioma/astrocytoma</w:t>
      </w:r>
    </w:p>
    <w:p w14:paraId="7402D03B" w14:textId="0237E332" w:rsidR="002C544C" w:rsidRPr="001F2C28" w:rsidRDefault="002C544C" w:rsidP="00A86EFA">
      <w:pPr>
        <w:pStyle w:val="ListParagraph"/>
        <w:numPr>
          <w:ilvl w:val="2"/>
          <w:numId w:val="215"/>
        </w:numPr>
        <w:ind w:left="2160"/>
      </w:pPr>
      <w:r w:rsidRPr="001F2C28">
        <w:t>Neoplastic sellar and parasellar lesions</w:t>
      </w:r>
    </w:p>
    <w:p w14:paraId="2AFB6E15" w14:textId="3513B933" w:rsidR="002C544C" w:rsidRPr="001F2C28" w:rsidRDefault="002C544C" w:rsidP="00A86EFA">
      <w:pPr>
        <w:pStyle w:val="ListParagraph"/>
        <w:numPr>
          <w:ilvl w:val="2"/>
          <w:numId w:val="215"/>
        </w:numPr>
        <w:ind w:left="2160"/>
      </w:pPr>
      <w:r w:rsidRPr="001F2C28">
        <w:t>Chordoma</w:t>
      </w:r>
    </w:p>
    <w:p w14:paraId="0ABADED8" w14:textId="50B4B0AC" w:rsidR="002C544C" w:rsidRPr="001F2C28" w:rsidRDefault="002C544C" w:rsidP="00A86EFA">
      <w:pPr>
        <w:pStyle w:val="ListParagraph"/>
        <w:numPr>
          <w:ilvl w:val="2"/>
          <w:numId w:val="215"/>
        </w:numPr>
        <w:ind w:left="2160"/>
      </w:pPr>
      <w:r w:rsidRPr="001F2C28">
        <w:t>Hamartoma</w:t>
      </w:r>
    </w:p>
    <w:p w14:paraId="3E03B553" w14:textId="0FE4CA9E" w:rsidR="002C544C" w:rsidRPr="001F2C28" w:rsidRDefault="002C544C" w:rsidP="00A86EFA">
      <w:pPr>
        <w:pStyle w:val="ListParagraph"/>
        <w:numPr>
          <w:ilvl w:val="2"/>
          <w:numId w:val="215"/>
        </w:numPr>
        <w:ind w:left="2160"/>
      </w:pPr>
      <w:r w:rsidRPr="001F2C28">
        <w:t>Lymphoma</w:t>
      </w:r>
    </w:p>
    <w:p w14:paraId="2F4FF51D" w14:textId="0EB6A501" w:rsidR="002C544C" w:rsidRPr="001F2C28" w:rsidRDefault="002C544C" w:rsidP="00A86EFA">
      <w:pPr>
        <w:pStyle w:val="ListParagraph"/>
        <w:numPr>
          <w:ilvl w:val="2"/>
          <w:numId w:val="215"/>
        </w:numPr>
        <w:ind w:left="2160"/>
      </w:pPr>
      <w:r w:rsidRPr="001F2C28">
        <w:t>Metastases</w:t>
      </w:r>
    </w:p>
    <w:p w14:paraId="297B29B6" w14:textId="2F489631" w:rsidR="002C544C" w:rsidRPr="001F2C28" w:rsidRDefault="002C544C" w:rsidP="00A86EFA">
      <w:pPr>
        <w:pStyle w:val="ListParagraph"/>
        <w:numPr>
          <w:ilvl w:val="2"/>
          <w:numId w:val="215"/>
        </w:numPr>
        <w:ind w:left="2160"/>
      </w:pPr>
      <w:r w:rsidRPr="001F2C28">
        <w:t>Other brain injury</w:t>
      </w:r>
    </w:p>
    <w:p w14:paraId="74FBEC3A" w14:textId="7C4CF464" w:rsidR="002C544C" w:rsidRPr="001F2C28" w:rsidRDefault="002C544C" w:rsidP="00A86EFA">
      <w:pPr>
        <w:pStyle w:val="ListParagraph"/>
        <w:numPr>
          <w:ilvl w:val="2"/>
          <w:numId w:val="215"/>
        </w:numPr>
        <w:ind w:left="2160"/>
      </w:pPr>
      <w:r w:rsidRPr="001F2C28">
        <w:t>Traumatic brain injury</w:t>
      </w:r>
    </w:p>
    <w:p w14:paraId="7FA2675A" w14:textId="4E53B4D3" w:rsidR="002C544C" w:rsidRPr="001F2C28" w:rsidRDefault="002C544C" w:rsidP="00A86EFA">
      <w:pPr>
        <w:pStyle w:val="ListParagraph"/>
        <w:numPr>
          <w:ilvl w:val="2"/>
          <w:numId w:val="215"/>
        </w:numPr>
        <w:ind w:left="2160"/>
      </w:pPr>
      <w:r w:rsidRPr="001F2C28">
        <w:lastRenderedPageBreak/>
        <w:t>Sports-related head trauma</w:t>
      </w:r>
    </w:p>
    <w:p w14:paraId="1463D252" w14:textId="3375EEB7" w:rsidR="002C544C" w:rsidRPr="001F2C28" w:rsidRDefault="002C544C" w:rsidP="00A86EFA">
      <w:pPr>
        <w:pStyle w:val="ListParagraph"/>
        <w:numPr>
          <w:ilvl w:val="2"/>
          <w:numId w:val="215"/>
        </w:numPr>
        <w:ind w:left="2160"/>
      </w:pPr>
      <w:r w:rsidRPr="001F2C28">
        <w:t>Blast injury</w:t>
      </w:r>
    </w:p>
    <w:p w14:paraId="5488598C" w14:textId="48EFD2C7" w:rsidR="002C544C" w:rsidRPr="001F2C28" w:rsidRDefault="002C544C" w:rsidP="00A86EFA">
      <w:pPr>
        <w:pStyle w:val="ListParagraph"/>
        <w:numPr>
          <w:ilvl w:val="2"/>
          <w:numId w:val="215"/>
        </w:numPr>
        <w:ind w:left="2160"/>
      </w:pPr>
      <w:r w:rsidRPr="001F2C28">
        <w:t>Infiltrative/granulomatous disease</w:t>
      </w:r>
    </w:p>
    <w:p w14:paraId="0DE02DD3" w14:textId="55B2D706" w:rsidR="002C544C" w:rsidRPr="001F2C28" w:rsidRDefault="002C544C" w:rsidP="00A86EFA">
      <w:pPr>
        <w:pStyle w:val="ListParagraph"/>
        <w:numPr>
          <w:ilvl w:val="2"/>
          <w:numId w:val="215"/>
        </w:numPr>
        <w:ind w:left="2160"/>
      </w:pPr>
      <w:r w:rsidRPr="001F2C28">
        <w:t>Langerhans cell histiocytosis</w:t>
      </w:r>
    </w:p>
    <w:p w14:paraId="6C4AA295" w14:textId="0C91F00D" w:rsidR="002C544C" w:rsidRPr="001F2C28" w:rsidRDefault="002C544C" w:rsidP="00A86EFA">
      <w:pPr>
        <w:pStyle w:val="ListParagraph"/>
        <w:numPr>
          <w:ilvl w:val="2"/>
          <w:numId w:val="215"/>
        </w:numPr>
        <w:ind w:left="2160"/>
      </w:pPr>
      <w:r w:rsidRPr="001F2C28">
        <w:t>Autoimmune hypophysitis (primary or secondary)</w:t>
      </w:r>
    </w:p>
    <w:p w14:paraId="064C3168" w14:textId="37C7F1BF" w:rsidR="002C544C" w:rsidRPr="001F2C28" w:rsidRDefault="002C544C" w:rsidP="00A86EFA">
      <w:pPr>
        <w:pStyle w:val="ListParagraph"/>
        <w:numPr>
          <w:ilvl w:val="2"/>
          <w:numId w:val="215"/>
        </w:numPr>
        <w:ind w:left="2160"/>
      </w:pPr>
      <w:r w:rsidRPr="001F2C28">
        <w:t>Sarcoidosis</w:t>
      </w:r>
    </w:p>
    <w:p w14:paraId="34101F40" w14:textId="6ACC3987" w:rsidR="002C544C" w:rsidRPr="001F2C28" w:rsidRDefault="002C544C" w:rsidP="00A86EFA">
      <w:pPr>
        <w:pStyle w:val="ListParagraph"/>
        <w:numPr>
          <w:ilvl w:val="2"/>
          <w:numId w:val="215"/>
        </w:numPr>
        <w:ind w:left="2160"/>
      </w:pPr>
      <w:r w:rsidRPr="001F2C28">
        <w:t>Tuberculosis</w:t>
      </w:r>
    </w:p>
    <w:p w14:paraId="698BA421" w14:textId="7721E7F2" w:rsidR="002C544C" w:rsidRPr="001F2C28" w:rsidRDefault="002C544C" w:rsidP="00A86EFA">
      <w:pPr>
        <w:pStyle w:val="ListParagraph"/>
        <w:numPr>
          <w:ilvl w:val="2"/>
          <w:numId w:val="215"/>
        </w:numPr>
        <w:ind w:left="2160"/>
      </w:pPr>
      <w:r w:rsidRPr="001F2C28">
        <w:t>Amyloidosis</w:t>
      </w:r>
    </w:p>
    <w:p w14:paraId="2D246393" w14:textId="72C3CC4D" w:rsidR="002C544C" w:rsidRPr="001F2C28" w:rsidRDefault="002C544C" w:rsidP="00A86EFA">
      <w:pPr>
        <w:pStyle w:val="ListParagraph"/>
        <w:numPr>
          <w:ilvl w:val="1"/>
          <w:numId w:val="214"/>
        </w:numPr>
        <w:ind w:left="1440"/>
      </w:pPr>
      <w:r w:rsidRPr="001F2C28">
        <w:t>Surgery to the sella, suprasellar, and parasellar region</w:t>
      </w:r>
    </w:p>
    <w:p w14:paraId="680CD338" w14:textId="5A26A36A" w:rsidR="002C544C" w:rsidRPr="001F2C28" w:rsidRDefault="002C544C" w:rsidP="00A86EFA">
      <w:pPr>
        <w:pStyle w:val="ListParagraph"/>
        <w:numPr>
          <w:ilvl w:val="1"/>
          <w:numId w:val="214"/>
        </w:numPr>
        <w:ind w:left="1440"/>
      </w:pPr>
      <w:r w:rsidRPr="001F2C28">
        <w:t>Cranial irradiation</w:t>
      </w:r>
    </w:p>
    <w:p w14:paraId="4F0FFCDC" w14:textId="57C45B92" w:rsidR="002C544C" w:rsidRPr="001F2C28" w:rsidRDefault="002C544C" w:rsidP="00A86EFA">
      <w:pPr>
        <w:pStyle w:val="ListParagraph"/>
        <w:numPr>
          <w:ilvl w:val="1"/>
          <w:numId w:val="214"/>
        </w:numPr>
        <w:ind w:left="1440"/>
      </w:pPr>
      <w:r w:rsidRPr="001F2C28">
        <w:t>Central nervous system infections (bacteria, viruses, fungi, parasites)</w:t>
      </w:r>
    </w:p>
    <w:p w14:paraId="336464E1" w14:textId="3EAB8B4D" w:rsidR="002C544C" w:rsidRPr="001F2C28" w:rsidRDefault="002C544C" w:rsidP="00A86EFA">
      <w:pPr>
        <w:pStyle w:val="ListParagraph"/>
        <w:numPr>
          <w:ilvl w:val="1"/>
          <w:numId w:val="214"/>
        </w:numPr>
        <w:ind w:left="1440"/>
      </w:pPr>
      <w:r w:rsidRPr="001F2C28">
        <w:t>Infarction/hemorrhage (e.g., apoplexy, subarachnoid hemorrhage, ischemic stroke, snake bite)</w:t>
      </w:r>
    </w:p>
    <w:p w14:paraId="2D7EE73A" w14:textId="3476C795" w:rsidR="002C544C" w:rsidRPr="001F2C28" w:rsidRDefault="002C544C" w:rsidP="00A86EFA">
      <w:pPr>
        <w:pStyle w:val="ListParagraph"/>
        <w:numPr>
          <w:ilvl w:val="1"/>
          <w:numId w:val="214"/>
        </w:numPr>
        <w:ind w:left="1440"/>
      </w:pPr>
      <w:r w:rsidRPr="001F2C28">
        <w:t>Empty sella</w:t>
      </w:r>
    </w:p>
    <w:p w14:paraId="78796D97" w14:textId="3B197176" w:rsidR="002C544C" w:rsidRPr="001F2C28" w:rsidRDefault="002C544C" w:rsidP="00A86EFA">
      <w:pPr>
        <w:pStyle w:val="ListParagraph"/>
        <w:numPr>
          <w:ilvl w:val="1"/>
          <w:numId w:val="214"/>
        </w:numPr>
        <w:ind w:left="1440"/>
      </w:pPr>
      <w:r w:rsidRPr="001F2C28">
        <w:t>Hydrocephalus</w:t>
      </w:r>
    </w:p>
    <w:p w14:paraId="4E8E3C07" w14:textId="779E6A67" w:rsidR="002C544C" w:rsidRPr="001F2C28" w:rsidRDefault="002C544C" w:rsidP="00A86EFA">
      <w:pPr>
        <w:pStyle w:val="ListParagraph"/>
        <w:numPr>
          <w:ilvl w:val="1"/>
          <w:numId w:val="214"/>
        </w:numPr>
        <w:ind w:left="1440"/>
      </w:pPr>
      <w:r w:rsidRPr="001F2C28">
        <w:t>Idiopathic</w:t>
      </w:r>
    </w:p>
    <w:p w14:paraId="10DA4309" w14:textId="36F46846" w:rsidR="00FF66BF" w:rsidRPr="001F2C28" w:rsidRDefault="00FF66BF" w:rsidP="00A86EFA">
      <w:pPr>
        <w:pStyle w:val="Heading2"/>
      </w:pPr>
      <w:r w:rsidRPr="001F2C28">
        <w:t>References</w:t>
      </w:r>
    </w:p>
    <w:p w14:paraId="46A431EF" w14:textId="52D89614" w:rsidR="00154FE0" w:rsidRPr="001F2C28" w:rsidRDefault="00154FE0" w:rsidP="001363FB">
      <w:pPr>
        <w:pStyle w:val="ReferenceOrdered"/>
      </w:pPr>
      <w:r w:rsidRPr="001F2C28">
        <w:t>Genotropin [package insert]. New York, NY: Pfizer Inc.; A</w:t>
      </w:r>
      <w:r w:rsidR="00C541B5" w:rsidRPr="001F2C28">
        <w:t>ugust</w:t>
      </w:r>
      <w:r w:rsidRPr="001F2C28">
        <w:t xml:space="preserve"> 20</w:t>
      </w:r>
      <w:r w:rsidR="00C541B5" w:rsidRPr="001F2C28">
        <w:t>24</w:t>
      </w:r>
      <w:r w:rsidRPr="001F2C28">
        <w:t>.</w:t>
      </w:r>
    </w:p>
    <w:p w14:paraId="241C7C29" w14:textId="6F337BEB" w:rsidR="00154FE0" w:rsidRPr="001F2C28" w:rsidRDefault="00154FE0" w:rsidP="001363FB">
      <w:pPr>
        <w:pStyle w:val="ReferenceOrdered"/>
      </w:pPr>
      <w:r w:rsidRPr="001F2C28">
        <w:t>Humatrope [package insert]. Indianapolis, IN: Eli Lilly and Company; December 2023.</w:t>
      </w:r>
    </w:p>
    <w:p w14:paraId="73D3FEAB" w14:textId="69278790" w:rsidR="00154FE0" w:rsidRPr="001F2C28" w:rsidRDefault="00154FE0" w:rsidP="001363FB">
      <w:pPr>
        <w:pStyle w:val="ReferenceOrdered"/>
      </w:pPr>
      <w:r w:rsidRPr="001F2C28">
        <w:t xml:space="preserve">Norditropin [package insert]. Plainsboro, NJ: Novo Nordisk Inc.; February 2018. </w:t>
      </w:r>
    </w:p>
    <w:p w14:paraId="26DDD4CB" w14:textId="338ACF2A" w:rsidR="00154FE0" w:rsidRPr="001F2C28" w:rsidRDefault="00154FE0" w:rsidP="001363FB">
      <w:pPr>
        <w:pStyle w:val="ReferenceOrdered"/>
      </w:pPr>
      <w:r w:rsidRPr="001F2C28">
        <w:t>Nutropin AQ [package insert]. South San Francisco, CA: Genentech, Inc.; December 2016.</w:t>
      </w:r>
    </w:p>
    <w:p w14:paraId="112B01C6" w14:textId="2A555022" w:rsidR="009A7487" w:rsidRPr="001F2C28" w:rsidRDefault="009A7487" w:rsidP="009A7487">
      <w:pPr>
        <w:pStyle w:val="ReferenceOrdered"/>
      </w:pPr>
      <w:r w:rsidRPr="001F2C28">
        <w:t xml:space="preserve">Omnitrope [package insert]. Princeton, NJ: Sandoz Inc.; </w:t>
      </w:r>
      <w:r w:rsidR="00C541B5" w:rsidRPr="001F2C28">
        <w:t>November</w:t>
      </w:r>
      <w:r w:rsidRPr="001F2C28">
        <w:t xml:space="preserve"> 20</w:t>
      </w:r>
      <w:r w:rsidR="00C541B5" w:rsidRPr="001F2C28">
        <w:t>24</w:t>
      </w:r>
      <w:r w:rsidRPr="001F2C28">
        <w:t>.</w:t>
      </w:r>
    </w:p>
    <w:p w14:paraId="27392E2A" w14:textId="667B5BDF" w:rsidR="00154FE0" w:rsidRPr="001F2C28" w:rsidRDefault="00154FE0" w:rsidP="001363FB">
      <w:pPr>
        <w:pStyle w:val="ReferenceOrdered"/>
      </w:pPr>
      <w:r w:rsidRPr="001F2C28">
        <w:t>Saizen [package insert]. Rockland, MA: EMD Serono Inc.; May 2018.</w:t>
      </w:r>
    </w:p>
    <w:p w14:paraId="597E11C1" w14:textId="6BD8CEED" w:rsidR="00154FE0" w:rsidRPr="001F2C28" w:rsidRDefault="00154FE0" w:rsidP="0056309E">
      <w:pPr>
        <w:pStyle w:val="ReferenceOrdered"/>
      </w:pPr>
      <w:proofErr w:type="spellStart"/>
      <w:r w:rsidRPr="001F2C28">
        <w:t>Zomacton</w:t>
      </w:r>
      <w:proofErr w:type="spellEnd"/>
      <w:r w:rsidRPr="001F2C28">
        <w:t xml:space="preserve"> [package insert]. Parsippany, NJ: Ferring Pharmaceuticals Inc.; </w:t>
      </w:r>
      <w:r w:rsidR="00C541B5" w:rsidRPr="001F2C28">
        <w:t>April</w:t>
      </w:r>
      <w:r w:rsidRPr="001F2C28">
        <w:t xml:space="preserve"> 20</w:t>
      </w:r>
      <w:r w:rsidR="00C541B5" w:rsidRPr="001F2C28">
        <w:t>24</w:t>
      </w:r>
      <w:r w:rsidRPr="001F2C28">
        <w:t>.</w:t>
      </w:r>
    </w:p>
    <w:p w14:paraId="547BFCEB" w14:textId="1364F166" w:rsidR="00154FE0" w:rsidRPr="001F2C28" w:rsidRDefault="00154FE0" w:rsidP="001363FB">
      <w:pPr>
        <w:pStyle w:val="ReferenceOrdered"/>
      </w:pPr>
      <w:proofErr w:type="spellStart"/>
      <w:r w:rsidRPr="001F2C28">
        <w:t>Congilio</w:t>
      </w:r>
      <w:proofErr w:type="spellEnd"/>
      <w:r w:rsidRPr="001F2C28">
        <w:t xml:space="preserve"> SJ, Stevenson RD, </w:t>
      </w:r>
      <w:proofErr w:type="spellStart"/>
      <w:r w:rsidRPr="001F2C28">
        <w:t>Rogol</w:t>
      </w:r>
      <w:proofErr w:type="spellEnd"/>
      <w:r w:rsidRPr="001F2C28">
        <w:t xml:space="preserve"> AD. Apparent growth hormone deficiency in children with cerebral palsy. Dev Med Child Neurol. 1996;38(9):797-804.</w:t>
      </w:r>
    </w:p>
    <w:p w14:paraId="33A29B1D" w14:textId="1E5404CB" w:rsidR="00154FE0" w:rsidRPr="001F2C28" w:rsidRDefault="00154FE0" w:rsidP="001363FB">
      <w:pPr>
        <w:pStyle w:val="ReferenceOrdered"/>
      </w:pPr>
      <w:r w:rsidRPr="001F2C28">
        <w:t xml:space="preserve">Shim ML, </w:t>
      </w:r>
      <w:proofErr w:type="spellStart"/>
      <w:r w:rsidRPr="001F2C28">
        <w:t>Moshang</w:t>
      </w:r>
      <w:proofErr w:type="spellEnd"/>
      <w:r w:rsidRPr="001F2C28">
        <w:t xml:space="preserve"> T, Oppenheim WL, et al. Is treatment with growth hormone effective in children with cerebral palsy? Dev Med Child Neurol. 2004;46(8):569-71.</w:t>
      </w:r>
    </w:p>
    <w:p w14:paraId="002575EA" w14:textId="2201134D" w:rsidR="00154FE0" w:rsidRPr="001F2C28" w:rsidRDefault="00154FE0" w:rsidP="001363FB">
      <w:pPr>
        <w:pStyle w:val="ReferenceOrdered"/>
      </w:pPr>
      <w:r w:rsidRPr="001F2C28">
        <w:t xml:space="preserve">Gallagher MP, Levine LS, </w:t>
      </w:r>
      <w:proofErr w:type="spellStart"/>
      <w:r w:rsidRPr="001F2C28">
        <w:t>Oberfield</w:t>
      </w:r>
      <w:proofErr w:type="spellEnd"/>
      <w:r w:rsidRPr="001F2C28">
        <w:t xml:space="preserve"> SE. A review of the effects of therapy on growth and bone mineralization in children with congenital adrenal hyperplasia. Growth </w:t>
      </w:r>
      <w:proofErr w:type="spellStart"/>
      <w:r w:rsidRPr="001F2C28">
        <w:t>Horm</w:t>
      </w:r>
      <w:proofErr w:type="spellEnd"/>
      <w:r w:rsidRPr="001F2C28">
        <w:t xml:space="preserve"> IGF Res. 2005;15 Suppl </w:t>
      </w:r>
      <w:proofErr w:type="gramStart"/>
      <w:r w:rsidRPr="001F2C28">
        <w:t>A:S</w:t>
      </w:r>
      <w:proofErr w:type="gramEnd"/>
      <w:r w:rsidRPr="001F2C28">
        <w:t>26-30.</w:t>
      </w:r>
    </w:p>
    <w:p w14:paraId="38294556" w14:textId="38EAF37F" w:rsidR="00154FE0" w:rsidRPr="001F2C28" w:rsidRDefault="00154FE0" w:rsidP="00E123AA">
      <w:pPr>
        <w:pStyle w:val="ReferenceOrdered"/>
      </w:pPr>
      <w:r w:rsidRPr="001F2C28">
        <w:t xml:space="preserve">Lin-Su K, </w:t>
      </w:r>
      <w:proofErr w:type="spellStart"/>
      <w:r w:rsidRPr="001F2C28">
        <w:t>Vogiatzi</w:t>
      </w:r>
      <w:proofErr w:type="spellEnd"/>
      <w:r w:rsidRPr="001F2C28">
        <w:t xml:space="preserve"> MG, Marshall I, et al. Treatment with growth hormone and luteinizing hormone releasing hormone analog improves final adult height in children with congenital adrenal hyperplasia. J Clin Endocrinol </w:t>
      </w:r>
      <w:proofErr w:type="spellStart"/>
      <w:r w:rsidRPr="001F2C28">
        <w:t>Metab</w:t>
      </w:r>
      <w:proofErr w:type="spellEnd"/>
      <w:r w:rsidRPr="001F2C28">
        <w:t xml:space="preserve">. </w:t>
      </w:r>
      <w:proofErr w:type="gramStart"/>
      <w:r w:rsidRPr="001F2C28">
        <w:t>2005;90:3318</w:t>
      </w:r>
      <w:proofErr w:type="gramEnd"/>
      <w:r w:rsidRPr="001F2C28">
        <w:t>-3325.</w:t>
      </w:r>
    </w:p>
    <w:p w14:paraId="2255B7FB" w14:textId="04CE8C8D" w:rsidR="00154FE0" w:rsidRPr="001F2C28" w:rsidRDefault="00154FE0" w:rsidP="001363FB">
      <w:pPr>
        <w:pStyle w:val="ReferenceOrdered"/>
      </w:pPr>
      <w:proofErr w:type="spellStart"/>
      <w:r w:rsidRPr="001F2C28">
        <w:t>Quintos</w:t>
      </w:r>
      <w:proofErr w:type="spellEnd"/>
      <w:r w:rsidRPr="001F2C28">
        <w:t xml:space="preserve"> JB, </w:t>
      </w:r>
      <w:proofErr w:type="spellStart"/>
      <w:r w:rsidRPr="001F2C28">
        <w:t>Vogiatzi</w:t>
      </w:r>
      <w:proofErr w:type="spellEnd"/>
      <w:r w:rsidRPr="001F2C28">
        <w:t xml:space="preserve"> MG, Harbison MD, et al. Growth hormone therapy alone or in combination with gonadotropin-releasing hormone analog therapy to improve the height deficit in children with congenital adrenal hyperplasia. J Clin Endocrinol </w:t>
      </w:r>
      <w:proofErr w:type="spellStart"/>
      <w:r w:rsidRPr="001F2C28">
        <w:t>Metab</w:t>
      </w:r>
      <w:proofErr w:type="spellEnd"/>
      <w:r w:rsidRPr="001F2C28">
        <w:t>. 2001;86(4):1511-1517.</w:t>
      </w:r>
    </w:p>
    <w:p w14:paraId="4B8D49A9" w14:textId="6A22B9BF" w:rsidR="00C541B5" w:rsidRPr="001F2C28" w:rsidRDefault="00C541B5" w:rsidP="001363FB">
      <w:pPr>
        <w:pStyle w:val="ReferenceOrdered"/>
      </w:pPr>
      <w:proofErr w:type="spellStart"/>
      <w:r w:rsidRPr="001F2C28">
        <w:t>Thaker</w:t>
      </w:r>
      <w:proofErr w:type="spellEnd"/>
      <w:r w:rsidRPr="001F2C28">
        <w:t xml:space="preserve"> V, Carter B, Putman M.  Recombinant growth hormone therapy for cystic fibrosis in children and young adults. Cochrane Database Syst Rev. 2021;8(8):CD008901.</w:t>
      </w:r>
    </w:p>
    <w:p w14:paraId="2F56CA1F" w14:textId="1FED84A4" w:rsidR="00C541B5" w:rsidRPr="001F2C28" w:rsidRDefault="00C541B5" w:rsidP="00E123AA">
      <w:pPr>
        <w:pStyle w:val="ReferenceOrdered"/>
      </w:pPr>
      <w:proofErr w:type="spellStart"/>
      <w:r w:rsidRPr="001F2C28">
        <w:lastRenderedPageBreak/>
        <w:t>Wakeling</w:t>
      </w:r>
      <w:proofErr w:type="spellEnd"/>
      <w:r w:rsidRPr="001F2C28">
        <w:t xml:space="preserve"> EL et al. Diagnosis and management of Silver-Russell syndrome: first international consensus statement. Nat Rev Endocrinol. 2017;13(2):105-124.</w:t>
      </w:r>
    </w:p>
    <w:p w14:paraId="0023EBA0" w14:textId="3253E8D2" w:rsidR="00E123AA" w:rsidRPr="001F2C28" w:rsidRDefault="00E123AA" w:rsidP="0056309E">
      <w:pPr>
        <w:pStyle w:val="ReferenceOrdered"/>
      </w:pPr>
      <w:r w:rsidRPr="001F2C28">
        <w:t xml:space="preserve">Collett-Solberg PF, Ambler G, </w:t>
      </w:r>
      <w:proofErr w:type="spellStart"/>
      <w:r w:rsidRPr="001F2C28">
        <w:t>Backeljauw</w:t>
      </w:r>
      <w:proofErr w:type="spellEnd"/>
      <w:r w:rsidRPr="001F2C28">
        <w:t xml:space="preserve"> PF, et al. Diagnosis, genetics, and therapy of short stature in children: A </w:t>
      </w:r>
      <w:proofErr w:type="spellStart"/>
      <w:r w:rsidRPr="001F2C28">
        <w:t>Growoth</w:t>
      </w:r>
      <w:proofErr w:type="spellEnd"/>
      <w:r w:rsidRPr="001F2C28">
        <w:t xml:space="preserve"> Hormone Research </w:t>
      </w:r>
      <w:proofErr w:type="spellStart"/>
      <w:r w:rsidRPr="001F2C28">
        <w:t>Socitey</w:t>
      </w:r>
      <w:proofErr w:type="spellEnd"/>
      <w:r w:rsidRPr="001F2C28">
        <w:t xml:space="preserve"> international perspective. </w:t>
      </w:r>
      <w:proofErr w:type="spellStart"/>
      <w:r w:rsidRPr="001F2C28">
        <w:t>Horm</w:t>
      </w:r>
      <w:proofErr w:type="spellEnd"/>
      <w:r w:rsidRPr="001F2C28">
        <w:t xml:space="preserve"> Res </w:t>
      </w:r>
      <w:proofErr w:type="spellStart"/>
      <w:r w:rsidRPr="001F2C28">
        <w:t>Paediatr</w:t>
      </w:r>
      <w:proofErr w:type="spellEnd"/>
      <w:r w:rsidRPr="001F2C28">
        <w:t>. 2019;92(1):1-14.</w:t>
      </w:r>
    </w:p>
    <w:p w14:paraId="1C3397E5" w14:textId="6152453B" w:rsidR="00154FE0" w:rsidRPr="001F2C28" w:rsidRDefault="00154FE0" w:rsidP="00E123AA">
      <w:pPr>
        <w:pStyle w:val="ReferenceOrdered"/>
      </w:pPr>
      <w:r w:rsidRPr="001F2C28">
        <w:t xml:space="preserve">Gharib H, Cook DM, Saenger PH, et al. American Association of Clinical Endocrinologists Growth Hormone Task Force. Medical guidelines for clinical practice for growth hormone use in adults and children 2003 Update. </w:t>
      </w:r>
      <w:proofErr w:type="spellStart"/>
      <w:r w:rsidRPr="001F2C28">
        <w:t>Endocr</w:t>
      </w:r>
      <w:proofErr w:type="spellEnd"/>
      <w:r w:rsidRPr="001F2C28">
        <w:t xml:space="preserve"> </w:t>
      </w:r>
      <w:proofErr w:type="spellStart"/>
      <w:r w:rsidRPr="001F2C28">
        <w:t>Pract</w:t>
      </w:r>
      <w:proofErr w:type="spellEnd"/>
      <w:r w:rsidRPr="001F2C28">
        <w:t>. 2003;9(1):64-76.</w:t>
      </w:r>
    </w:p>
    <w:p w14:paraId="54E4FA82" w14:textId="153D5914" w:rsidR="00154FE0" w:rsidRPr="001F2C28" w:rsidRDefault="00154FE0" w:rsidP="001363FB">
      <w:pPr>
        <w:pStyle w:val="ReferenceOrdered"/>
      </w:pPr>
      <w:r w:rsidRPr="001F2C28">
        <w:t xml:space="preserve">National Institute for Clinical Excellence: Guidance on the use of human growth hormone (somatropin) for the treatment of growth failure in children. May 2010. </w:t>
      </w:r>
      <w:r w:rsidR="00521081" w:rsidRPr="001F2C28">
        <w:t xml:space="preserve">http://www.nice.org.uk/guidance/ta188. </w:t>
      </w:r>
      <w:r w:rsidRPr="001F2C28">
        <w:t xml:space="preserve">Accessed January </w:t>
      </w:r>
      <w:r w:rsidR="00521081" w:rsidRPr="001F2C28">
        <w:t>2</w:t>
      </w:r>
      <w:r w:rsidRPr="001F2C28">
        <w:t>0, 202</w:t>
      </w:r>
      <w:r w:rsidR="00521081" w:rsidRPr="001F2C28">
        <w:t>5</w:t>
      </w:r>
      <w:r w:rsidRPr="001F2C28">
        <w:t>.</w:t>
      </w:r>
    </w:p>
    <w:p w14:paraId="6F6B3CDE" w14:textId="499314B0" w:rsidR="00154FE0" w:rsidRPr="001F2C28" w:rsidRDefault="00154FE0" w:rsidP="001363FB">
      <w:pPr>
        <w:pStyle w:val="ReferenceOrdered"/>
      </w:pPr>
      <w:r w:rsidRPr="001F2C28">
        <w:t xml:space="preserve">Wilson TA, Rose SR, Cohen P, et al. Update of Guidelines for the Use of Growth Hormone in Children: The Lawson Wilkins Pediatric Endocrinology Society Drug and Therapeutics Committee. J </w:t>
      </w:r>
      <w:proofErr w:type="spellStart"/>
      <w:r w:rsidRPr="001F2C28">
        <w:t>Pediatr</w:t>
      </w:r>
      <w:proofErr w:type="spellEnd"/>
      <w:r w:rsidRPr="001F2C28">
        <w:t xml:space="preserve">. </w:t>
      </w:r>
      <w:proofErr w:type="gramStart"/>
      <w:r w:rsidRPr="001F2C28">
        <w:t>2003;143:415</w:t>
      </w:r>
      <w:proofErr w:type="gramEnd"/>
      <w:r w:rsidRPr="001F2C28">
        <w:t>-421.</w:t>
      </w:r>
    </w:p>
    <w:p w14:paraId="000B0338" w14:textId="40991473" w:rsidR="00154FE0" w:rsidRPr="001F2C28" w:rsidRDefault="00154FE0" w:rsidP="001363FB">
      <w:pPr>
        <w:pStyle w:val="ReferenceOrdered"/>
      </w:pPr>
      <w:r w:rsidRPr="001F2C28">
        <w:t xml:space="preserve">Franklin SL, </w:t>
      </w:r>
      <w:proofErr w:type="spellStart"/>
      <w:r w:rsidRPr="001F2C28">
        <w:t>Geffner</w:t>
      </w:r>
      <w:proofErr w:type="spellEnd"/>
      <w:r w:rsidRPr="001F2C28">
        <w:t xml:space="preserve"> ME. Growth hormone: the expansion of available products and indications. </w:t>
      </w:r>
      <w:proofErr w:type="spellStart"/>
      <w:r w:rsidRPr="001F2C28">
        <w:t>Pediatr</w:t>
      </w:r>
      <w:proofErr w:type="spellEnd"/>
      <w:r w:rsidRPr="001F2C28">
        <w:t xml:space="preserve"> Clin North Am. </w:t>
      </w:r>
      <w:proofErr w:type="gramStart"/>
      <w:r w:rsidRPr="001F2C28">
        <w:t>2011;58:1141</w:t>
      </w:r>
      <w:proofErr w:type="gramEnd"/>
      <w:r w:rsidRPr="001F2C28">
        <w:t>-1165.</w:t>
      </w:r>
    </w:p>
    <w:p w14:paraId="4187247B" w14:textId="228D92D3" w:rsidR="00154FE0" w:rsidRPr="001F2C28" w:rsidRDefault="00154FE0" w:rsidP="001363FB">
      <w:pPr>
        <w:pStyle w:val="ReferenceOrdered"/>
      </w:pPr>
      <w:proofErr w:type="spellStart"/>
      <w:r w:rsidRPr="001F2C28">
        <w:t>Grimberg</w:t>
      </w:r>
      <w:proofErr w:type="spellEnd"/>
      <w:r w:rsidRPr="001F2C28">
        <w:t xml:space="preserve"> A, </w:t>
      </w:r>
      <w:proofErr w:type="spellStart"/>
      <w:r w:rsidRPr="001F2C28">
        <w:t>DiVall</w:t>
      </w:r>
      <w:proofErr w:type="spellEnd"/>
      <w:r w:rsidRPr="001F2C28">
        <w:t xml:space="preserve"> SA, </w:t>
      </w:r>
      <w:proofErr w:type="spellStart"/>
      <w:r w:rsidRPr="001F2C28">
        <w:t>Polychronakos</w:t>
      </w:r>
      <w:proofErr w:type="spellEnd"/>
      <w:r w:rsidRPr="001F2C28">
        <w:t xml:space="preserve"> C, et al. Guidelines for growth hormone and insulin-like growth factor-I treatment in children and adolescents: growth hormone deficiency, idiopathic short stature, and primary insulin-like growth factor-I deficiency. </w:t>
      </w:r>
      <w:proofErr w:type="spellStart"/>
      <w:r w:rsidRPr="001F2C28">
        <w:t>Horm</w:t>
      </w:r>
      <w:proofErr w:type="spellEnd"/>
      <w:r w:rsidRPr="001F2C28">
        <w:t xml:space="preserve"> Res </w:t>
      </w:r>
      <w:proofErr w:type="spellStart"/>
      <w:r w:rsidRPr="001F2C28">
        <w:t>Paediatr</w:t>
      </w:r>
      <w:proofErr w:type="spellEnd"/>
      <w:r w:rsidRPr="001F2C28">
        <w:t xml:space="preserve">. </w:t>
      </w:r>
      <w:proofErr w:type="gramStart"/>
      <w:r w:rsidRPr="001F2C28">
        <w:t>2016;86:361</w:t>
      </w:r>
      <w:proofErr w:type="gramEnd"/>
      <w:r w:rsidRPr="001F2C28">
        <w:t>-397.</w:t>
      </w:r>
    </w:p>
    <w:p w14:paraId="64632241" w14:textId="1B45F6FD" w:rsidR="00154FE0" w:rsidRPr="001F2C28" w:rsidRDefault="00154FE0" w:rsidP="001363FB">
      <w:pPr>
        <w:pStyle w:val="ReferenceOrdered"/>
      </w:pPr>
      <w:r w:rsidRPr="001F2C28">
        <w:t xml:space="preserve">Deal CL, Tony M, </w:t>
      </w:r>
      <w:proofErr w:type="spellStart"/>
      <w:r w:rsidRPr="001F2C28">
        <w:t>Hoybye</w:t>
      </w:r>
      <w:proofErr w:type="spellEnd"/>
      <w:r w:rsidRPr="001F2C28">
        <w:t xml:space="preserve"> C, et al. Growth Hormone Research Society workshop summary: consensus guidelines for recombinant human growth hormone therapy in Prader-Willi syndrome. J Clin Endocrinol </w:t>
      </w:r>
      <w:proofErr w:type="spellStart"/>
      <w:r w:rsidRPr="001F2C28">
        <w:t>Metab</w:t>
      </w:r>
      <w:proofErr w:type="spellEnd"/>
      <w:r w:rsidRPr="001F2C28">
        <w:t>. 2013;</w:t>
      </w:r>
      <w:proofErr w:type="gramStart"/>
      <w:r w:rsidRPr="001F2C28">
        <w:t>98:E</w:t>
      </w:r>
      <w:proofErr w:type="gramEnd"/>
      <w:r w:rsidRPr="001F2C28">
        <w:t>1072-E1087.</w:t>
      </w:r>
    </w:p>
    <w:p w14:paraId="4A261531" w14:textId="7E96EE5A" w:rsidR="00154FE0" w:rsidRPr="001F2C28" w:rsidRDefault="00154FE0" w:rsidP="001363FB">
      <w:pPr>
        <w:pStyle w:val="ReferenceOrdered"/>
      </w:pPr>
      <w:r w:rsidRPr="001F2C28">
        <w:t xml:space="preserve">Blum WF, Crowe BJ, Quigley CA, et al. Growth hormone is effective in treatment of short stature associated with short stature homeobox-containing gene deficiency: two-year results of a randomized, controlled, multicenter trial. J Clin Endocrinol </w:t>
      </w:r>
      <w:proofErr w:type="spellStart"/>
      <w:r w:rsidRPr="001F2C28">
        <w:t>Metab</w:t>
      </w:r>
      <w:proofErr w:type="spellEnd"/>
      <w:r w:rsidRPr="001F2C28">
        <w:t xml:space="preserve">. </w:t>
      </w:r>
      <w:proofErr w:type="gramStart"/>
      <w:r w:rsidRPr="001F2C28">
        <w:t>2007;92:219</w:t>
      </w:r>
      <w:proofErr w:type="gramEnd"/>
      <w:r w:rsidRPr="001F2C28">
        <w:t>-228.</w:t>
      </w:r>
    </w:p>
    <w:p w14:paraId="538DFC59" w14:textId="77777777" w:rsidR="00FB42B7" w:rsidRPr="001F2C28" w:rsidRDefault="00154FE0" w:rsidP="001363FB">
      <w:pPr>
        <w:pStyle w:val="ReferenceOrdered"/>
      </w:pPr>
      <w:r w:rsidRPr="001F2C28">
        <w:t xml:space="preserve">Blum WF, Ross JL, Zimmermann AG, et al. GH treatment to final height produces similar height gains in patients with SHOX deficiency and Turner syndrome: results of a multicenter trial. J Clin Endocrinol </w:t>
      </w:r>
      <w:proofErr w:type="spellStart"/>
      <w:r w:rsidRPr="001F2C28">
        <w:t>Metab</w:t>
      </w:r>
      <w:proofErr w:type="spellEnd"/>
      <w:r w:rsidRPr="001F2C28">
        <w:t>. 2013;98(8</w:t>
      </w:r>
      <w:proofErr w:type="gramStart"/>
      <w:r w:rsidRPr="001F2C28">
        <w:t>):E</w:t>
      </w:r>
      <w:proofErr w:type="gramEnd"/>
      <w:r w:rsidRPr="001F2C28">
        <w:t>1383-92.</w:t>
      </w:r>
    </w:p>
    <w:p w14:paraId="0FA5657D" w14:textId="6785B857" w:rsidR="00154FE0" w:rsidRPr="001F2C28" w:rsidRDefault="00154FE0" w:rsidP="001363FB">
      <w:pPr>
        <w:pStyle w:val="ReferenceOrdered"/>
      </w:pPr>
      <w:proofErr w:type="spellStart"/>
      <w:r w:rsidRPr="001F2C28">
        <w:t>Molitch</w:t>
      </w:r>
      <w:proofErr w:type="spellEnd"/>
      <w:r w:rsidRPr="001F2C28">
        <w:t xml:space="preserve"> ME, Clemmons DR, </w:t>
      </w:r>
      <w:proofErr w:type="spellStart"/>
      <w:r w:rsidRPr="001F2C28">
        <w:t>Malozowski</w:t>
      </w:r>
      <w:proofErr w:type="spellEnd"/>
      <w:r w:rsidRPr="001F2C28">
        <w:t xml:space="preserve"> S, et al. Evaluation and treatment of adult growth hormone deficiency: an Endocrine Society clinical practice guideline. J Clin Endocrinol </w:t>
      </w:r>
      <w:proofErr w:type="spellStart"/>
      <w:r w:rsidRPr="001F2C28">
        <w:t>Metab</w:t>
      </w:r>
      <w:proofErr w:type="spellEnd"/>
      <w:r w:rsidRPr="001F2C28">
        <w:t xml:space="preserve">. </w:t>
      </w:r>
      <w:proofErr w:type="gramStart"/>
      <w:r w:rsidRPr="001F2C28">
        <w:t>2011;96:1587</w:t>
      </w:r>
      <w:proofErr w:type="gramEnd"/>
      <w:r w:rsidRPr="001F2C28">
        <w:t>-1609.</w:t>
      </w:r>
    </w:p>
    <w:p w14:paraId="431B1051" w14:textId="77777777" w:rsidR="006239EB" w:rsidRPr="001F2C28" w:rsidRDefault="00154FE0" w:rsidP="001363FB">
      <w:pPr>
        <w:pStyle w:val="ReferenceOrdered"/>
      </w:pPr>
      <w:r w:rsidRPr="001F2C28">
        <w:t xml:space="preserve">Deal C, </w:t>
      </w:r>
      <w:proofErr w:type="spellStart"/>
      <w:r w:rsidRPr="001F2C28">
        <w:t>Hasselmann</w:t>
      </w:r>
      <w:proofErr w:type="spellEnd"/>
      <w:r w:rsidRPr="001F2C28">
        <w:t xml:space="preserve"> C, </w:t>
      </w:r>
      <w:proofErr w:type="spellStart"/>
      <w:r w:rsidRPr="001F2C28">
        <w:t>Pfaffle</w:t>
      </w:r>
      <w:proofErr w:type="spellEnd"/>
      <w:r w:rsidRPr="001F2C28">
        <w:t xml:space="preserve"> RW, et al. Associations between pituitary imaging abnormalities and clinical and biochemical phenotypes in children with congenital growth hormone deficiency: data from an international observational study. </w:t>
      </w:r>
      <w:proofErr w:type="spellStart"/>
      <w:r w:rsidRPr="001F2C28">
        <w:t>Horm</w:t>
      </w:r>
      <w:proofErr w:type="spellEnd"/>
      <w:r w:rsidRPr="001F2C28">
        <w:t xml:space="preserve"> Res </w:t>
      </w:r>
      <w:proofErr w:type="spellStart"/>
      <w:r w:rsidRPr="001F2C28">
        <w:t>Paediatr</w:t>
      </w:r>
      <w:proofErr w:type="spellEnd"/>
      <w:r w:rsidRPr="001F2C28">
        <w:t xml:space="preserve">. </w:t>
      </w:r>
      <w:proofErr w:type="gramStart"/>
      <w:r w:rsidRPr="001F2C28">
        <w:t>2013;79:283</w:t>
      </w:r>
      <w:proofErr w:type="gramEnd"/>
      <w:r w:rsidRPr="001F2C28">
        <w:t>-292.</w:t>
      </w:r>
    </w:p>
    <w:p w14:paraId="175A8661" w14:textId="777A2B41" w:rsidR="00154FE0" w:rsidRPr="001F2C28" w:rsidRDefault="00154FE0" w:rsidP="001363FB">
      <w:pPr>
        <w:pStyle w:val="ReferenceOrdered"/>
      </w:pPr>
      <w:r w:rsidRPr="001F2C28">
        <w:t xml:space="preserve">Yuen KCJ, Biller BMK, </w:t>
      </w:r>
      <w:proofErr w:type="spellStart"/>
      <w:r w:rsidRPr="001F2C28">
        <w:t>Radovick</w:t>
      </w:r>
      <w:proofErr w:type="spellEnd"/>
      <w:r w:rsidRPr="001F2C28">
        <w:t xml:space="preserve"> S, et al. American Association of Clinical Endocrinologists and American College of Endocrinology guidelines for management of growth hormone deficiency in adults and patients transitioning from pediatric to adult care. </w:t>
      </w:r>
      <w:proofErr w:type="spellStart"/>
      <w:r w:rsidRPr="001F2C28">
        <w:t>Endocr</w:t>
      </w:r>
      <w:proofErr w:type="spellEnd"/>
      <w:r w:rsidRPr="001F2C28">
        <w:t xml:space="preserve"> </w:t>
      </w:r>
      <w:proofErr w:type="spellStart"/>
      <w:r w:rsidRPr="001F2C28">
        <w:t>Pract</w:t>
      </w:r>
      <w:proofErr w:type="spellEnd"/>
      <w:r w:rsidRPr="001F2C28">
        <w:t>. 2019; 25: 1191-1232.</w:t>
      </w:r>
    </w:p>
    <w:p w14:paraId="06E1F8A8" w14:textId="6985F53D" w:rsidR="00154FE0" w:rsidRPr="001F2C28" w:rsidRDefault="00154FE0" w:rsidP="001363FB">
      <w:pPr>
        <w:pStyle w:val="ReferenceOrdered"/>
      </w:pPr>
      <w:r w:rsidRPr="001F2C28">
        <w:t xml:space="preserve">Butler MG, Miller JL, Forster JL. Prader-Willi syndrome – clinical genetics, diagnosis and treatment approaches: An update. Curr </w:t>
      </w:r>
      <w:proofErr w:type="spellStart"/>
      <w:r w:rsidRPr="001F2C28">
        <w:t>Pediatr</w:t>
      </w:r>
      <w:proofErr w:type="spellEnd"/>
      <w:r w:rsidRPr="001F2C28">
        <w:t xml:space="preserve"> Rev. 2019;15(4):207-244.</w:t>
      </w:r>
    </w:p>
    <w:sectPr w:rsidR="00154FE0" w:rsidRPr="001F2C28" w:rsidSect="00C22BA2">
      <w:footerReference w:type="default" r:id="rId15"/>
      <w:headerReference w:type="first" r:id="rId16"/>
      <w:footerReference w:type="first" r:id="rId17"/>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1291" w14:textId="77777777" w:rsidR="00033012" w:rsidRDefault="00033012">
      <w:r>
        <w:separator/>
      </w:r>
    </w:p>
  </w:endnote>
  <w:endnote w:type="continuationSeparator" w:id="0">
    <w:p w14:paraId="4A3BDFE6" w14:textId="77777777" w:rsidR="00033012" w:rsidRDefault="00033012">
      <w:r>
        <w:continuationSeparator/>
      </w:r>
    </w:p>
  </w:endnote>
  <w:endnote w:type="continuationNotice" w:id="1">
    <w:p w14:paraId="61251F46" w14:textId="77777777" w:rsidR="00033012" w:rsidRDefault="00033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CDC79" w14:textId="77777777" w:rsidR="006C5F67" w:rsidRPr="004159B2" w:rsidRDefault="006C5F67" w:rsidP="006C5F67">
    <w:pPr>
      <w:tabs>
        <w:tab w:val="right" w:pos="10710"/>
      </w:tabs>
      <w:spacing w:before="360" w:after="120"/>
      <w:rPr>
        <w:rFonts w:cs="Arial"/>
        <w:snapToGrid w:val="0"/>
        <w:color w:val="000000"/>
        <w:sz w:val="16"/>
      </w:rPr>
    </w:pPr>
    <w:r w:rsidRPr="006C5F67">
      <w:rPr>
        <w:rFonts w:cs="Arial"/>
        <w:snapToGrid w:val="0"/>
        <w:color w:val="000000"/>
        <w:sz w:val="16"/>
      </w:rPr>
      <w:t>Growth Hormone Without ISS 1742-A SGM 2024</w:t>
    </w:r>
    <w:r w:rsidRPr="004159B2">
      <w:rPr>
        <w:rFonts w:cs="Arial"/>
        <w:snapToGrid w:val="0"/>
        <w:color w:val="000000"/>
        <w:sz w:val="16"/>
      </w:rPr>
      <w:tab/>
      <w:t>© 2024 CVS Caremark. All rights reserved.</w:t>
    </w:r>
  </w:p>
  <w:p w14:paraId="2C0302EC" w14:textId="77777777" w:rsidR="006C5F67" w:rsidRPr="004159B2" w:rsidRDefault="006C5F67" w:rsidP="006C5F67">
    <w:pPr>
      <w:tabs>
        <w:tab w:val="center" w:pos="4320"/>
        <w:tab w:val="right" w:pos="8640"/>
      </w:tabs>
      <w:spacing w:after="200"/>
      <w:rPr>
        <w:rFonts w:cs="Arial"/>
        <w:sz w:val="16"/>
        <w:szCs w:val="16"/>
      </w:rPr>
    </w:pPr>
    <w:r w:rsidRPr="004159B2">
      <w:rPr>
        <w:rFonts w:cs="Arial"/>
        <w:sz w:val="16"/>
        <w:szCs w:val="16"/>
      </w:rPr>
      <w:t>This document contains c</w:t>
    </w:r>
    <w:r w:rsidRPr="004159B2">
      <w:rPr>
        <w:rFonts w:cs="Arial"/>
        <w:snapToGrid w:val="0"/>
        <w:sz w:val="16"/>
        <w:szCs w:val="16"/>
      </w:rPr>
      <w:t xml:space="preserve">onfidential and proprietary information of CVS Caremark and cannot be reproduced, distributed or printed without written permission from CVS Caremark. </w:t>
    </w:r>
    <w:r w:rsidRPr="004159B2">
      <w:rPr>
        <w:rFonts w:cs="Arial"/>
        <w:sz w:val="16"/>
        <w:szCs w:val="16"/>
      </w:rPr>
      <w:t xml:space="preserve">This document contains prescription brand name drugs that are trademarks or registered trademarks of pharmaceutical manufacturers that are not affiliated with </w:t>
    </w:r>
    <w:r w:rsidRPr="004159B2">
      <w:rPr>
        <w:rFonts w:cs="Arial"/>
        <w:snapToGrid w:val="0"/>
        <w:sz w:val="16"/>
        <w:szCs w:val="16"/>
      </w:rPr>
      <w:t>CVS Caremark</w:t>
    </w:r>
    <w:r w:rsidRPr="004159B2">
      <w:rPr>
        <w:rFonts w:cs="Arial"/>
        <w:sz w:val="16"/>
        <w:szCs w:val="16"/>
      </w:rPr>
      <w:t xml:space="preserve">. </w:t>
    </w:r>
  </w:p>
  <w:p w14:paraId="0A93DFF8" w14:textId="77777777" w:rsidR="006C5F67" w:rsidRPr="004159B2" w:rsidRDefault="006C5F67" w:rsidP="006C5F67">
    <w:pPr>
      <w:autoSpaceDE w:val="0"/>
      <w:autoSpaceDN w:val="0"/>
      <w:adjustRightInd w:val="0"/>
      <w:jc w:val="center"/>
      <w:rPr>
        <w:rFonts w:cs="Arial"/>
        <w:sz w:val="16"/>
        <w:szCs w:val="16"/>
      </w:rPr>
    </w:pPr>
    <w:r w:rsidRPr="004159B2">
      <w:rPr>
        <w:rFonts w:cs="Arial"/>
        <w:sz w:val="16"/>
        <w:szCs w:val="16"/>
      </w:rPr>
      <w:fldChar w:fldCharType="begin"/>
    </w:r>
    <w:r w:rsidRPr="004159B2">
      <w:rPr>
        <w:rFonts w:cs="Arial"/>
        <w:sz w:val="16"/>
        <w:szCs w:val="16"/>
      </w:rPr>
      <w:instrText xml:space="preserve"> PAGE   \* MERGEFORMAT </w:instrText>
    </w:r>
    <w:r w:rsidRPr="004159B2">
      <w:rPr>
        <w:rFonts w:cs="Arial"/>
        <w:sz w:val="16"/>
        <w:szCs w:val="16"/>
      </w:rPr>
      <w:fldChar w:fldCharType="separate"/>
    </w:r>
    <w:r>
      <w:rPr>
        <w:rFonts w:cs="Arial"/>
        <w:noProof/>
        <w:sz w:val="16"/>
        <w:szCs w:val="16"/>
      </w:rPr>
      <w:t>15</w:t>
    </w:r>
    <w:r w:rsidRPr="004159B2">
      <w:rPr>
        <w:rFonts w:cs="Arial"/>
        <w:noProof/>
        <w:sz w:val="16"/>
        <w:szCs w:val="16"/>
      </w:rPr>
      <w:fldChar w:fldCharType="end"/>
    </w:r>
  </w:p>
  <w:p w14:paraId="0DF8DEBC" w14:textId="6E2FABC1" w:rsidR="00F75C81" w:rsidRPr="006C5F67" w:rsidRDefault="006C5F67" w:rsidP="006C5F67">
    <w:pPr>
      <w:autoSpaceDE w:val="0"/>
      <w:autoSpaceDN w:val="0"/>
      <w:adjustRightInd w:val="0"/>
      <w:jc w:val="right"/>
      <w:rPr>
        <w:rFonts w:ascii="Arial" w:hAnsi="Arial" w:cs="Arial"/>
        <w:sz w:val="16"/>
        <w:szCs w:val="16"/>
      </w:rPr>
    </w:pPr>
    <w:r>
      <w:rPr>
        <w:noProof/>
      </w:rPr>
      <w:drawing>
        <wp:inline distT="0" distB="0" distL="0" distR="0" wp14:anchorId="3E608BFD" wp14:editId="18E72BD3">
          <wp:extent cx="1644063" cy="185980"/>
          <wp:effectExtent l="0" t="0" r="0" b="5080"/>
          <wp:docPr id="1683114754" name="Picture 1683114754"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descr="CVS Caremark®">
                    <a:extLst>
                      <a:ext uri="{C183D7F6-B498-43B3-948B-1728B52AA6E4}">
                        <adec:decorative xmlns:adec="http://schemas.microsoft.com/office/drawing/2017/decorative" val="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44063" cy="18598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4036B6A"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868B5" w:rsidRPr="006868B5">
      <w:rPr>
        <w:rFonts w:cs="Arial"/>
        <w:noProof/>
        <w:sz w:val="16"/>
        <w:szCs w:val="16"/>
      </w:rPr>
      <w:t>Growth</w:t>
    </w:r>
    <w:r w:rsidR="006868B5">
      <w:rPr>
        <w:rFonts w:cs="Arial"/>
        <w:noProof/>
        <w:snapToGrid w:val="0"/>
        <w:color w:val="000000"/>
        <w:sz w:val="16"/>
        <w:szCs w:val="16"/>
      </w:rPr>
      <w:t xml:space="preserve"> Hormone Without</w:t>
    </w:r>
    <w:r w:rsidR="006868B5" w:rsidRPr="006868B5">
      <w:rPr>
        <w:rFonts w:cs="Arial"/>
        <w:noProof/>
        <w:sz w:val="16"/>
        <w:szCs w:val="16"/>
      </w:rPr>
      <w:t xml:space="preserve"> ISS</w:t>
    </w:r>
    <w:r w:rsidR="006868B5">
      <w:rPr>
        <w:rFonts w:cs="Arial"/>
        <w:noProof/>
        <w:snapToGrid w:val="0"/>
        <w:color w:val="000000"/>
        <w:sz w:val="16"/>
        <w:szCs w:val="16"/>
      </w:rPr>
      <w:t xml:space="preserve"> SGM 1742-A P2025.docx</w:t>
    </w:r>
    <w:r w:rsidRPr="00EC47B6">
      <w:rPr>
        <w:rFonts w:cs="Arial"/>
        <w:noProof/>
        <w:sz w:val="16"/>
        <w:szCs w:val="16"/>
      </w:rPr>
      <w:fldChar w:fldCharType="end"/>
    </w:r>
    <w:r w:rsidRPr="00EC47B6">
      <w:rPr>
        <w:rFonts w:cs="Arial"/>
        <w:snapToGrid w:val="0"/>
        <w:color w:val="000000"/>
        <w:sz w:val="16"/>
      </w:rPr>
      <w:tab/>
      <w:t>© 202</w:t>
    </w:r>
    <w:r w:rsidR="000B068C">
      <w:rPr>
        <w:rFonts w:cs="Arial"/>
        <w:snapToGrid w:val="0"/>
        <w:color w:val="000000"/>
        <w:sz w:val="16"/>
      </w:rPr>
      <w:t>5</w:t>
    </w:r>
    <w:r w:rsidRPr="00EC47B6">
      <w:rPr>
        <w:rFonts w:cs="Arial"/>
        <w:snapToGrid w:val="0"/>
        <w:color w:val="000000"/>
        <w:sz w:val="16"/>
      </w:rPr>
      <w:t xml:space="preserve"> CVS Caremark. All rights reserved.</w:t>
    </w:r>
  </w:p>
  <w:p w14:paraId="39BFE579" w14:textId="6FEA5736"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D7A4740" w:rsidR="00ED04EC" w:rsidRPr="00F50D98" w:rsidRDefault="00F50D98" w:rsidP="00F80D1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70644" w14:textId="369B44F1" w:rsidR="004750FC" w:rsidRPr="00EC47B6" w:rsidRDefault="004750FC" w:rsidP="004750FC">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868B5" w:rsidRPr="006868B5">
      <w:rPr>
        <w:rFonts w:cs="Arial"/>
        <w:noProof/>
        <w:sz w:val="16"/>
        <w:szCs w:val="16"/>
      </w:rPr>
      <w:t>Growth</w:t>
    </w:r>
    <w:r w:rsidR="006868B5">
      <w:rPr>
        <w:rFonts w:cs="Arial"/>
        <w:noProof/>
        <w:snapToGrid w:val="0"/>
        <w:color w:val="000000"/>
        <w:sz w:val="16"/>
        <w:szCs w:val="16"/>
      </w:rPr>
      <w:t xml:space="preserve"> Hormone Without</w:t>
    </w:r>
    <w:r w:rsidR="006868B5" w:rsidRPr="006868B5">
      <w:rPr>
        <w:rFonts w:cs="Arial"/>
        <w:noProof/>
        <w:sz w:val="16"/>
        <w:szCs w:val="16"/>
      </w:rPr>
      <w:t xml:space="preserve"> ISS</w:t>
    </w:r>
    <w:r w:rsidR="006868B5">
      <w:rPr>
        <w:rFonts w:cs="Arial"/>
        <w:noProof/>
        <w:snapToGrid w:val="0"/>
        <w:color w:val="000000"/>
        <w:sz w:val="16"/>
        <w:szCs w:val="16"/>
      </w:rPr>
      <w:t xml:space="preserve"> SGM 1742-A P2025.docx</w:t>
    </w:r>
    <w:r w:rsidRPr="00EC47B6">
      <w:rPr>
        <w:rFonts w:cs="Arial"/>
        <w:noProof/>
        <w:sz w:val="16"/>
        <w:szCs w:val="16"/>
      </w:rPr>
      <w:fldChar w:fldCharType="end"/>
    </w:r>
    <w:r w:rsidRPr="00EC47B6">
      <w:rPr>
        <w:rFonts w:cs="Arial"/>
        <w:snapToGrid w:val="0"/>
        <w:color w:val="000000"/>
        <w:sz w:val="16"/>
      </w:rPr>
      <w:tab/>
      <w:t>© 202</w:t>
    </w:r>
    <w:r w:rsidR="000B068C">
      <w:rPr>
        <w:rFonts w:cs="Arial"/>
        <w:snapToGrid w:val="0"/>
        <w:color w:val="000000"/>
        <w:sz w:val="16"/>
      </w:rPr>
      <w:t>5</w:t>
    </w:r>
    <w:r w:rsidRPr="00EC47B6">
      <w:rPr>
        <w:rFonts w:cs="Arial"/>
        <w:snapToGrid w:val="0"/>
        <w:color w:val="000000"/>
        <w:sz w:val="16"/>
      </w:rPr>
      <w:t xml:space="preserve"> CVS Caremark. All rights reserved.</w:t>
    </w:r>
  </w:p>
  <w:p w14:paraId="30580571" w14:textId="77777777" w:rsidR="004750FC" w:rsidRPr="00EC47B6" w:rsidRDefault="004750FC" w:rsidP="004750FC">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F6477EC" w14:textId="7AB4FEFC" w:rsidR="00987ED4" w:rsidRPr="00987ED4" w:rsidRDefault="004750FC" w:rsidP="00F80D1A">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13</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4D683" w14:textId="77777777" w:rsidR="00033012" w:rsidRDefault="00033012">
      <w:r>
        <w:separator/>
      </w:r>
    </w:p>
  </w:footnote>
  <w:footnote w:type="continuationSeparator" w:id="0">
    <w:p w14:paraId="6A25B603" w14:textId="77777777" w:rsidR="00033012" w:rsidRDefault="00033012">
      <w:r>
        <w:continuationSeparator/>
      </w:r>
    </w:p>
  </w:footnote>
  <w:footnote w:type="continuationNotice" w:id="1">
    <w:p w14:paraId="669C60B3" w14:textId="77777777" w:rsidR="00033012" w:rsidRDefault="000330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16A0FFE3" w:rsidR="00ED04EC" w:rsidRPr="0004360A" w:rsidRDefault="004750FC" w:rsidP="00ED04EC">
          <w:pPr>
            <w:pStyle w:val="Header"/>
            <w:rPr>
              <w:rFonts w:ascii="Arial" w:hAnsi="Arial" w:cs="Arial"/>
              <w:sz w:val="16"/>
              <w:szCs w:val="16"/>
            </w:rPr>
          </w:pPr>
          <w:r>
            <w:rPr>
              <w:rFonts w:ascii="Arial" w:hAnsi="Arial" w:cs="Arial"/>
              <w:sz w:val="16"/>
              <w:szCs w:val="16"/>
            </w:rPr>
            <w:t>17</w:t>
          </w:r>
          <w:r w:rsidR="005E792C">
            <w:rPr>
              <w:rFonts w:ascii="Arial" w:hAnsi="Arial" w:cs="Arial"/>
              <w:sz w:val="16"/>
              <w:szCs w:val="16"/>
            </w:rPr>
            <w:t>42-A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4515A27B" w:rsidR="000F5383" w:rsidRPr="00FF66BF" w:rsidRDefault="0004685F" w:rsidP="009E1F57">
          <w:pPr>
            <w:pStyle w:val="RefTableHeader"/>
          </w:pPr>
          <w:r>
            <w:rPr>
              <w:rFonts w:ascii="Arial" w:hAnsi="Arial"/>
            </w:rPr>
            <w:t>1742-A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D2320"/>
    <w:multiLevelType w:val="hybridMultilevel"/>
    <w:tmpl w:val="2102A3A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0706A12"/>
    <w:multiLevelType w:val="hybridMultilevel"/>
    <w:tmpl w:val="10C6D40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9036FB"/>
    <w:multiLevelType w:val="hybridMultilevel"/>
    <w:tmpl w:val="E2883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8044AF"/>
    <w:multiLevelType w:val="hybridMultilevel"/>
    <w:tmpl w:val="5DA2849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2220608"/>
    <w:multiLevelType w:val="hybridMultilevel"/>
    <w:tmpl w:val="D07CD116"/>
    <w:lvl w:ilvl="0" w:tplc="C026E6EC">
      <w:start w:val="1"/>
      <w:numFmt w:val="upperLetter"/>
      <w:lvlText w:val="%1."/>
      <w:lvlJc w:val="left"/>
      <w:pPr>
        <w:ind w:left="1080" w:hanging="720"/>
      </w:pPr>
      <w:rPr>
        <w:rFonts w:hint="default"/>
      </w:rPr>
    </w:lvl>
    <w:lvl w:ilvl="1" w:tplc="B10472CE">
      <w:start w:val="1"/>
      <w:numFmt w:val="decimal"/>
      <w:lvlText w:val="%2."/>
      <w:lvlJc w:val="left"/>
      <w:pPr>
        <w:ind w:left="1800" w:hanging="720"/>
      </w:pPr>
      <w:rPr>
        <w:rFonts w:hint="default"/>
      </w:rPr>
    </w:lvl>
    <w:lvl w:ilvl="2" w:tplc="F782BC66">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2D7273C"/>
    <w:multiLevelType w:val="hybridMultilevel"/>
    <w:tmpl w:val="0C021A2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370216A"/>
    <w:multiLevelType w:val="hybridMultilevel"/>
    <w:tmpl w:val="AFD871C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3963718"/>
    <w:multiLevelType w:val="hybridMultilevel"/>
    <w:tmpl w:val="4092A13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4A43F21"/>
    <w:multiLevelType w:val="hybridMultilevel"/>
    <w:tmpl w:val="4C0A6A1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D63E65"/>
    <w:multiLevelType w:val="hybridMultilevel"/>
    <w:tmpl w:val="865CF76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55E2405"/>
    <w:multiLevelType w:val="hybridMultilevel"/>
    <w:tmpl w:val="295E82C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79218D3"/>
    <w:multiLevelType w:val="hybridMultilevel"/>
    <w:tmpl w:val="937C675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9F76D69"/>
    <w:multiLevelType w:val="hybridMultilevel"/>
    <w:tmpl w:val="4D2A9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AF10248"/>
    <w:multiLevelType w:val="hybridMultilevel"/>
    <w:tmpl w:val="34D8B78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0B3C2816"/>
    <w:multiLevelType w:val="multilevel"/>
    <w:tmpl w:val="E2044482"/>
    <w:lvl w:ilvl="0">
      <w:start w:val="1"/>
      <w:numFmt w:val="bullet"/>
      <w:lvlText w:val=""/>
      <w:lvlJc w:val="left"/>
      <w:pPr>
        <w:ind w:left="720" w:hanging="360"/>
      </w:pPr>
      <w:rPr>
        <w:rFonts w:ascii="Symbol" w:hAnsi="Symbol" w:hint="default"/>
      </w:rPr>
    </w:lvl>
    <w:lvl w:ilvl="1">
      <w:start w:val="1"/>
      <w:numFmt w:val="bullet"/>
      <w:lvlRestart w:val="0"/>
      <w:lvlText w:val=""/>
      <w:lvlJc w:val="left"/>
      <w:pPr>
        <w:ind w:left="72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0B4800D1"/>
    <w:multiLevelType w:val="multilevel"/>
    <w:tmpl w:val="6FF0A74C"/>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0B6546EC"/>
    <w:multiLevelType w:val="hybridMultilevel"/>
    <w:tmpl w:val="205CE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B673337"/>
    <w:multiLevelType w:val="hybridMultilevel"/>
    <w:tmpl w:val="C63C722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0BAA3D1E"/>
    <w:multiLevelType w:val="hybridMultilevel"/>
    <w:tmpl w:val="B59CB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C6C4ED7"/>
    <w:multiLevelType w:val="hybridMultilevel"/>
    <w:tmpl w:val="6FF0A74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0CB23781"/>
    <w:multiLevelType w:val="hybridMultilevel"/>
    <w:tmpl w:val="C950BC7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D442060"/>
    <w:multiLevelType w:val="hybridMultilevel"/>
    <w:tmpl w:val="2FC0366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EB86C5F"/>
    <w:multiLevelType w:val="hybridMultilevel"/>
    <w:tmpl w:val="8BF4AF0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EE17FE5"/>
    <w:multiLevelType w:val="hybridMultilevel"/>
    <w:tmpl w:val="56A8064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F282C28"/>
    <w:multiLevelType w:val="hybridMultilevel"/>
    <w:tmpl w:val="4D22A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F5C751B"/>
    <w:multiLevelType w:val="hybridMultilevel"/>
    <w:tmpl w:val="BD52A81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121E4A80"/>
    <w:multiLevelType w:val="hybridMultilevel"/>
    <w:tmpl w:val="4B1CC1A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12FF66B1"/>
    <w:multiLevelType w:val="hybridMultilevel"/>
    <w:tmpl w:val="1810A69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14104B4B"/>
    <w:multiLevelType w:val="hybridMultilevel"/>
    <w:tmpl w:val="B528553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15A108AA"/>
    <w:multiLevelType w:val="hybridMultilevel"/>
    <w:tmpl w:val="113A4F94"/>
    <w:lvl w:ilvl="0" w:tplc="0409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16E6333B"/>
    <w:multiLevelType w:val="hybridMultilevel"/>
    <w:tmpl w:val="4F0E620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17961227"/>
    <w:multiLevelType w:val="hybridMultilevel"/>
    <w:tmpl w:val="E0244C2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18801B05"/>
    <w:multiLevelType w:val="hybridMultilevel"/>
    <w:tmpl w:val="5C349B4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19080673"/>
    <w:multiLevelType w:val="hybridMultilevel"/>
    <w:tmpl w:val="C2FCE19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9">
      <w:start w:val="1"/>
      <w:numFmt w:val="bullet"/>
      <w:lvlText w:val=""/>
      <w:lvlJc w:val="left"/>
      <w:pPr>
        <w:ind w:left="288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19545CAF"/>
    <w:multiLevelType w:val="hybridMultilevel"/>
    <w:tmpl w:val="055E6AD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1A3C1F5C"/>
    <w:multiLevelType w:val="hybridMultilevel"/>
    <w:tmpl w:val="0EA649DC"/>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1B024B43"/>
    <w:multiLevelType w:val="hybridMultilevel"/>
    <w:tmpl w:val="494AF55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7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1B780F06"/>
    <w:multiLevelType w:val="hybridMultilevel"/>
    <w:tmpl w:val="5E9043D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2" w15:restartNumberingAfterBreak="0">
    <w:nsid w:val="1C632E22"/>
    <w:multiLevelType w:val="hybridMultilevel"/>
    <w:tmpl w:val="846A5D3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1CB80017"/>
    <w:multiLevelType w:val="hybridMultilevel"/>
    <w:tmpl w:val="7048E5D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1EA66C14"/>
    <w:multiLevelType w:val="hybridMultilevel"/>
    <w:tmpl w:val="1690EA74"/>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20B73DA7"/>
    <w:multiLevelType w:val="hybridMultilevel"/>
    <w:tmpl w:val="50E4AD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20EF1BF9"/>
    <w:multiLevelType w:val="hybridMultilevel"/>
    <w:tmpl w:val="B0AC488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21A9183E"/>
    <w:multiLevelType w:val="hybridMultilevel"/>
    <w:tmpl w:val="E0F6D09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22ED1608"/>
    <w:multiLevelType w:val="hybridMultilevel"/>
    <w:tmpl w:val="062E725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248B1DF0"/>
    <w:multiLevelType w:val="hybridMultilevel"/>
    <w:tmpl w:val="4C06FD0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24BE42A8"/>
    <w:multiLevelType w:val="hybridMultilevel"/>
    <w:tmpl w:val="8C260E6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24E4764B"/>
    <w:multiLevelType w:val="hybridMultilevel"/>
    <w:tmpl w:val="F180823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25100728"/>
    <w:multiLevelType w:val="hybridMultilevel"/>
    <w:tmpl w:val="7B4ED82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25196359"/>
    <w:multiLevelType w:val="hybridMultilevel"/>
    <w:tmpl w:val="C9FC507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298339A1"/>
    <w:multiLevelType w:val="hybridMultilevel"/>
    <w:tmpl w:val="F162DC3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2A873E30"/>
    <w:multiLevelType w:val="hybridMultilevel"/>
    <w:tmpl w:val="CFCA3380"/>
    <w:lvl w:ilvl="0" w:tplc="FFFFFFFF">
      <w:start w:val="1"/>
      <w:numFmt w:val="bullet"/>
      <w:lvlText w:val=""/>
      <w:lvlJc w:val="left"/>
      <w:pPr>
        <w:ind w:left="144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7" w15:restartNumberingAfterBreak="0">
    <w:nsid w:val="2CA4397C"/>
    <w:multiLevelType w:val="hybridMultilevel"/>
    <w:tmpl w:val="1DE67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EB03F77"/>
    <w:multiLevelType w:val="hybridMultilevel"/>
    <w:tmpl w:val="1116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F4C4126"/>
    <w:multiLevelType w:val="hybridMultilevel"/>
    <w:tmpl w:val="29527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FCD1868"/>
    <w:multiLevelType w:val="hybridMultilevel"/>
    <w:tmpl w:val="6616C1C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2FF91B6F"/>
    <w:multiLevelType w:val="hybridMultilevel"/>
    <w:tmpl w:val="2CE6BF9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30810C13"/>
    <w:multiLevelType w:val="hybridMultilevel"/>
    <w:tmpl w:val="0054F89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3244133E"/>
    <w:multiLevelType w:val="hybridMultilevel"/>
    <w:tmpl w:val="C2060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27A1D8C"/>
    <w:multiLevelType w:val="hybridMultilevel"/>
    <w:tmpl w:val="14685D5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9">
      <w:start w:val="1"/>
      <w:numFmt w:val="bullet"/>
      <w:lvlText w:val=""/>
      <w:lvlJc w:val="left"/>
      <w:pPr>
        <w:ind w:left="72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32D55D94"/>
    <w:multiLevelType w:val="hybridMultilevel"/>
    <w:tmpl w:val="F386E26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33366C6D"/>
    <w:multiLevelType w:val="hybridMultilevel"/>
    <w:tmpl w:val="6ADE4664"/>
    <w:lvl w:ilvl="0" w:tplc="2FBE1C16">
      <w:start w:val="1"/>
      <w:numFmt w:val="upperLetter"/>
      <w:lvlText w:val="%1."/>
      <w:lvlJc w:val="left"/>
      <w:pPr>
        <w:ind w:left="1080" w:hanging="720"/>
      </w:pPr>
      <w:rPr>
        <w:rFonts w:hint="default"/>
      </w:rPr>
    </w:lvl>
    <w:lvl w:ilvl="1" w:tplc="107A99BC">
      <w:start w:val="1"/>
      <w:numFmt w:val="decimal"/>
      <w:lvlText w:val="%2."/>
      <w:lvlJc w:val="left"/>
      <w:pPr>
        <w:ind w:left="1800" w:hanging="720"/>
      </w:pPr>
      <w:rPr>
        <w:rFonts w:hint="default"/>
      </w:rPr>
    </w:lvl>
    <w:lvl w:ilvl="2" w:tplc="C6AE7B9C">
      <w:start w:val="1"/>
      <w:numFmt w:val="lowerRoman"/>
      <w:lvlText w:val="%3."/>
      <w:lvlJc w:val="left"/>
      <w:pPr>
        <w:ind w:left="2700" w:hanging="720"/>
      </w:pPr>
      <w:rPr>
        <w:rFonts w:hint="default"/>
      </w:rPr>
    </w:lvl>
    <w:lvl w:ilvl="3" w:tplc="FC10838E">
      <w:start w:val="1"/>
      <w:numFmt w:val="lowerLetter"/>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37953DF"/>
    <w:multiLevelType w:val="hybridMultilevel"/>
    <w:tmpl w:val="B1662D16"/>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418459C"/>
    <w:multiLevelType w:val="hybridMultilevel"/>
    <w:tmpl w:val="77F6B13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3541360B"/>
    <w:multiLevelType w:val="hybridMultilevel"/>
    <w:tmpl w:val="FE66315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35EB4086"/>
    <w:multiLevelType w:val="hybridMultilevel"/>
    <w:tmpl w:val="34A4C87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36301119"/>
    <w:multiLevelType w:val="hybridMultilevel"/>
    <w:tmpl w:val="FD38EE7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3648397D"/>
    <w:multiLevelType w:val="hybridMultilevel"/>
    <w:tmpl w:val="4282FF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9">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36B15732"/>
    <w:multiLevelType w:val="hybridMultilevel"/>
    <w:tmpl w:val="A3E287A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9">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37736CAE"/>
    <w:multiLevelType w:val="hybridMultilevel"/>
    <w:tmpl w:val="E2323D3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38B5370F"/>
    <w:multiLevelType w:val="hybridMultilevel"/>
    <w:tmpl w:val="FB1062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8FA7CEC"/>
    <w:multiLevelType w:val="hybridMultilevel"/>
    <w:tmpl w:val="5E86959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39790E5A"/>
    <w:multiLevelType w:val="hybridMultilevel"/>
    <w:tmpl w:val="303247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3ABC73D3"/>
    <w:multiLevelType w:val="hybridMultilevel"/>
    <w:tmpl w:val="4E9E82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ACB494B"/>
    <w:multiLevelType w:val="hybridMultilevel"/>
    <w:tmpl w:val="C5D4EFE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3CEF530A"/>
    <w:multiLevelType w:val="hybridMultilevel"/>
    <w:tmpl w:val="E918F5F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3D093A48"/>
    <w:multiLevelType w:val="hybridMultilevel"/>
    <w:tmpl w:val="17BA7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B517DC"/>
    <w:multiLevelType w:val="hybridMultilevel"/>
    <w:tmpl w:val="0BA06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E422102"/>
    <w:multiLevelType w:val="hybridMultilevel"/>
    <w:tmpl w:val="B260A63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3FBF5645"/>
    <w:multiLevelType w:val="hybridMultilevel"/>
    <w:tmpl w:val="08D8C03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9">
      <w:start w:val="1"/>
      <w:numFmt w:val="bullet"/>
      <w:lvlText w:val=""/>
      <w:lvlJc w:val="left"/>
      <w:pPr>
        <w:ind w:left="288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400247EF"/>
    <w:multiLevelType w:val="hybridMultilevel"/>
    <w:tmpl w:val="21DC5A8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40BD4388"/>
    <w:multiLevelType w:val="hybridMultilevel"/>
    <w:tmpl w:val="A1F6E12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416C1F54"/>
    <w:multiLevelType w:val="hybridMultilevel"/>
    <w:tmpl w:val="1B2CD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1BF0C5A"/>
    <w:multiLevelType w:val="hybridMultilevel"/>
    <w:tmpl w:val="64EC3D98"/>
    <w:lvl w:ilvl="0" w:tplc="63B2391E">
      <w:start w:val="1"/>
      <w:numFmt w:val="upperLetter"/>
      <w:lvlText w:val="%1."/>
      <w:lvlJc w:val="left"/>
      <w:pPr>
        <w:ind w:left="1080" w:hanging="720"/>
      </w:pPr>
      <w:rPr>
        <w:rFonts w:hint="default"/>
      </w:rPr>
    </w:lvl>
    <w:lvl w:ilvl="1" w:tplc="AE3E22FC">
      <w:start w:val="1"/>
      <w:numFmt w:val="decimal"/>
      <w:lvlText w:val="%2."/>
      <w:lvlJc w:val="left"/>
      <w:pPr>
        <w:ind w:left="1800" w:hanging="720"/>
      </w:pPr>
      <w:rPr>
        <w:rFonts w:hint="default"/>
      </w:rPr>
    </w:lvl>
    <w:lvl w:ilvl="2" w:tplc="C6C03760">
      <w:start w:val="1"/>
      <w:numFmt w:val="lowerRoman"/>
      <w:lvlText w:val="%3."/>
      <w:lvlJc w:val="left"/>
      <w:pPr>
        <w:ind w:left="2700" w:hanging="720"/>
      </w:pPr>
      <w:rPr>
        <w:rFonts w:hint="default"/>
      </w:rPr>
    </w:lvl>
    <w:lvl w:ilvl="3" w:tplc="67BC060A">
      <w:start w:val="1"/>
      <w:numFmt w:val="lowerLetter"/>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29F14D9"/>
    <w:multiLevelType w:val="hybridMultilevel"/>
    <w:tmpl w:val="6BF4E9E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4355523A"/>
    <w:multiLevelType w:val="hybridMultilevel"/>
    <w:tmpl w:val="3F724F2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436C3B39"/>
    <w:multiLevelType w:val="hybridMultilevel"/>
    <w:tmpl w:val="5D48FC0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44D7ABD"/>
    <w:multiLevelType w:val="hybridMultilevel"/>
    <w:tmpl w:val="F98AA65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44C20C7B"/>
    <w:multiLevelType w:val="hybridMultilevel"/>
    <w:tmpl w:val="0B1CB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5D4279A"/>
    <w:multiLevelType w:val="hybridMultilevel"/>
    <w:tmpl w:val="E11A390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46712542"/>
    <w:multiLevelType w:val="hybridMultilevel"/>
    <w:tmpl w:val="FBAA456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46F60D48"/>
    <w:multiLevelType w:val="hybridMultilevel"/>
    <w:tmpl w:val="DF4A9B0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77E7828"/>
    <w:multiLevelType w:val="hybridMultilevel"/>
    <w:tmpl w:val="BCD005B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47A426DD"/>
    <w:multiLevelType w:val="hybridMultilevel"/>
    <w:tmpl w:val="BCAA4B1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47C468E4"/>
    <w:multiLevelType w:val="hybridMultilevel"/>
    <w:tmpl w:val="678CE5C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483D0E0C"/>
    <w:multiLevelType w:val="hybridMultilevel"/>
    <w:tmpl w:val="90AA343C"/>
    <w:lvl w:ilvl="0" w:tplc="8B3269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48E53C15"/>
    <w:multiLevelType w:val="hybridMultilevel"/>
    <w:tmpl w:val="6A2699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8F636A2"/>
    <w:multiLevelType w:val="hybridMultilevel"/>
    <w:tmpl w:val="C3D8D430"/>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49FD34C7"/>
    <w:multiLevelType w:val="hybridMultilevel"/>
    <w:tmpl w:val="B31E3B1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4A0B3EDE"/>
    <w:multiLevelType w:val="hybridMultilevel"/>
    <w:tmpl w:val="1A8E063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4AB54D17"/>
    <w:multiLevelType w:val="hybridMultilevel"/>
    <w:tmpl w:val="8194772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4BA41994"/>
    <w:multiLevelType w:val="hybridMultilevel"/>
    <w:tmpl w:val="EF4032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C1A410B"/>
    <w:multiLevelType w:val="hybridMultilevel"/>
    <w:tmpl w:val="37FC0AB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4C9419B9"/>
    <w:multiLevelType w:val="hybridMultilevel"/>
    <w:tmpl w:val="B230900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4CFD4F3A"/>
    <w:multiLevelType w:val="hybridMultilevel"/>
    <w:tmpl w:val="23668A3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4D10181D"/>
    <w:multiLevelType w:val="hybridMultilevel"/>
    <w:tmpl w:val="A188678A"/>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4D7A0BEF"/>
    <w:multiLevelType w:val="hybridMultilevel"/>
    <w:tmpl w:val="6098317A"/>
    <w:lvl w:ilvl="0" w:tplc="704EF392">
      <w:start w:val="1"/>
      <w:numFmt w:val="decimal"/>
      <w:lvlText w:val="%1."/>
      <w:lvlJc w:val="left"/>
      <w:pPr>
        <w:ind w:left="1080" w:hanging="720"/>
      </w:pPr>
      <w:rPr>
        <w:rFonts w:hint="default"/>
      </w:rPr>
    </w:lvl>
    <w:lvl w:ilvl="1" w:tplc="830864E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4DE10422"/>
    <w:multiLevelType w:val="hybridMultilevel"/>
    <w:tmpl w:val="F44A747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4F3445FE"/>
    <w:multiLevelType w:val="hybridMultilevel"/>
    <w:tmpl w:val="B350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F9F4F61"/>
    <w:multiLevelType w:val="hybridMultilevel"/>
    <w:tmpl w:val="2F124A6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4FCA39A9"/>
    <w:multiLevelType w:val="hybridMultilevel"/>
    <w:tmpl w:val="FA60D31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50DE2B72"/>
    <w:multiLevelType w:val="hybridMultilevel"/>
    <w:tmpl w:val="1174E67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51D50C66"/>
    <w:multiLevelType w:val="hybridMultilevel"/>
    <w:tmpl w:val="61A67C38"/>
    <w:lvl w:ilvl="0" w:tplc="7C6258A6">
      <w:start w:val="1"/>
      <w:numFmt w:val="decimal"/>
      <w:lvlText w:val="%1."/>
      <w:lvlJc w:val="left"/>
      <w:pPr>
        <w:ind w:left="1080" w:hanging="720"/>
      </w:pPr>
      <w:rPr>
        <w:rFonts w:hint="default"/>
      </w:rPr>
    </w:lvl>
    <w:lvl w:ilvl="1" w:tplc="D16EEF5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529B4840"/>
    <w:multiLevelType w:val="hybridMultilevel"/>
    <w:tmpl w:val="1804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3B03CB1"/>
    <w:multiLevelType w:val="hybridMultilevel"/>
    <w:tmpl w:val="E79250D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53E70B45"/>
    <w:multiLevelType w:val="hybridMultilevel"/>
    <w:tmpl w:val="8572EF4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548B1C6F"/>
    <w:multiLevelType w:val="hybridMultilevel"/>
    <w:tmpl w:val="045A3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4951C21"/>
    <w:multiLevelType w:val="hybridMultilevel"/>
    <w:tmpl w:val="B4C0B5E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54A21483"/>
    <w:multiLevelType w:val="hybridMultilevel"/>
    <w:tmpl w:val="21589C2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55F02476"/>
    <w:multiLevelType w:val="hybridMultilevel"/>
    <w:tmpl w:val="28DE4A5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58050EFC"/>
    <w:multiLevelType w:val="hybridMultilevel"/>
    <w:tmpl w:val="23E0C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C405370"/>
    <w:multiLevelType w:val="hybridMultilevel"/>
    <w:tmpl w:val="E7B0DE8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0" w15:restartNumberingAfterBreak="0">
    <w:nsid w:val="5C514B44"/>
    <w:multiLevelType w:val="hybridMultilevel"/>
    <w:tmpl w:val="B380A49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D682F93"/>
    <w:multiLevelType w:val="hybridMultilevel"/>
    <w:tmpl w:val="C4687F1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5E6C1FC9"/>
    <w:multiLevelType w:val="hybridMultilevel"/>
    <w:tmpl w:val="13AE5B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5" w15:restartNumberingAfterBreak="0">
    <w:nsid w:val="5F28578C"/>
    <w:multiLevelType w:val="hybridMultilevel"/>
    <w:tmpl w:val="49AE022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5F7B3E69"/>
    <w:multiLevelType w:val="hybridMultilevel"/>
    <w:tmpl w:val="993AB53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5FD52A3B"/>
    <w:multiLevelType w:val="hybridMultilevel"/>
    <w:tmpl w:val="FDE605B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C36761"/>
    <w:multiLevelType w:val="hybridMultilevel"/>
    <w:tmpl w:val="208CE6C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60F13E8F"/>
    <w:multiLevelType w:val="hybridMultilevel"/>
    <w:tmpl w:val="59741D4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6130409D"/>
    <w:multiLevelType w:val="hybridMultilevel"/>
    <w:tmpl w:val="E09ED2A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2" w15:restartNumberingAfterBreak="0">
    <w:nsid w:val="61845E31"/>
    <w:multiLevelType w:val="hybridMultilevel"/>
    <w:tmpl w:val="C842165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618C78FC"/>
    <w:multiLevelType w:val="hybridMultilevel"/>
    <w:tmpl w:val="4AD8B30A"/>
    <w:lvl w:ilvl="0" w:tplc="04090009">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15:restartNumberingAfterBreak="0">
    <w:nsid w:val="61A127FD"/>
    <w:multiLevelType w:val="hybridMultilevel"/>
    <w:tmpl w:val="5284FDF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61C22488"/>
    <w:multiLevelType w:val="hybridMultilevel"/>
    <w:tmpl w:val="F0A2164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620C3120"/>
    <w:multiLevelType w:val="hybridMultilevel"/>
    <w:tmpl w:val="A9663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29824A8"/>
    <w:multiLevelType w:val="hybridMultilevel"/>
    <w:tmpl w:val="E6CA7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2C2056F"/>
    <w:multiLevelType w:val="hybridMultilevel"/>
    <w:tmpl w:val="30C8F2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2F352F5"/>
    <w:multiLevelType w:val="hybridMultilevel"/>
    <w:tmpl w:val="74A6969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90009">
      <w:start w:val="1"/>
      <w:numFmt w:val="bullet"/>
      <w:lvlText w:val=""/>
      <w:lvlJc w:val="left"/>
      <w:pPr>
        <w:ind w:left="72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0" w15:restartNumberingAfterBreak="0">
    <w:nsid w:val="64BA06FD"/>
    <w:multiLevelType w:val="hybridMultilevel"/>
    <w:tmpl w:val="92204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4D04435"/>
    <w:multiLevelType w:val="hybridMultilevel"/>
    <w:tmpl w:val="0C742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5535F3D"/>
    <w:multiLevelType w:val="hybridMultilevel"/>
    <w:tmpl w:val="3EF840D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656062EF"/>
    <w:multiLevelType w:val="hybridMultilevel"/>
    <w:tmpl w:val="06E6EF3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7B1404E"/>
    <w:multiLevelType w:val="hybridMultilevel"/>
    <w:tmpl w:val="70F6232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6" w15:restartNumberingAfterBreak="0">
    <w:nsid w:val="67F73322"/>
    <w:multiLevelType w:val="hybridMultilevel"/>
    <w:tmpl w:val="8236DA0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Wingdings" w:hAnsi="Wingdings"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7" w15:restartNumberingAfterBreak="0">
    <w:nsid w:val="68234FC1"/>
    <w:multiLevelType w:val="hybridMultilevel"/>
    <w:tmpl w:val="F1062ADE"/>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8D03E17"/>
    <w:multiLevelType w:val="hybridMultilevel"/>
    <w:tmpl w:val="8408A87C"/>
    <w:lvl w:ilvl="0" w:tplc="8034B632">
      <w:start w:val="1"/>
      <w:numFmt w:val="upperLetter"/>
      <w:lvlText w:val="%1."/>
      <w:lvlJc w:val="left"/>
      <w:pPr>
        <w:ind w:left="1080" w:hanging="720"/>
      </w:pPr>
      <w:rPr>
        <w:rFonts w:hint="default"/>
      </w:rPr>
    </w:lvl>
    <w:lvl w:ilvl="1" w:tplc="0DDC3002">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69180BDF"/>
    <w:multiLevelType w:val="hybridMultilevel"/>
    <w:tmpl w:val="028E4C9E"/>
    <w:lvl w:ilvl="0" w:tplc="8C46E0CE">
      <w:start w:val="9"/>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694017E6"/>
    <w:multiLevelType w:val="hybridMultilevel"/>
    <w:tmpl w:val="EDBE3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98030C5"/>
    <w:multiLevelType w:val="hybridMultilevel"/>
    <w:tmpl w:val="CF244BE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6A545DB3"/>
    <w:multiLevelType w:val="hybridMultilevel"/>
    <w:tmpl w:val="9DB8423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6AC549CE"/>
    <w:multiLevelType w:val="hybridMultilevel"/>
    <w:tmpl w:val="35C2B718"/>
    <w:lvl w:ilvl="0" w:tplc="4D9E00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6B8632A9"/>
    <w:multiLevelType w:val="hybridMultilevel"/>
    <w:tmpl w:val="CBBC91B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6D582401"/>
    <w:multiLevelType w:val="hybridMultilevel"/>
    <w:tmpl w:val="02BC65B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6DEA0468"/>
    <w:multiLevelType w:val="hybridMultilevel"/>
    <w:tmpl w:val="2E8C142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6EE04481"/>
    <w:multiLevelType w:val="hybridMultilevel"/>
    <w:tmpl w:val="86D2B75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9" w15:restartNumberingAfterBreak="0">
    <w:nsid w:val="6F556404"/>
    <w:multiLevelType w:val="hybridMultilevel"/>
    <w:tmpl w:val="E458C1A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0" w15:restartNumberingAfterBreak="0">
    <w:nsid w:val="6F9B4A2B"/>
    <w:multiLevelType w:val="hybridMultilevel"/>
    <w:tmpl w:val="A60EFBCE"/>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1" w15:restartNumberingAfterBreak="0">
    <w:nsid w:val="6FBB1A59"/>
    <w:multiLevelType w:val="hybridMultilevel"/>
    <w:tmpl w:val="E8661B8C"/>
    <w:lvl w:ilvl="0" w:tplc="DB24A582">
      <w:start w:val="9"/>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6FE025A0"/>
    <w:multiLevelType w:val="hybridMultilevel"/>
    <w:tmpl w:val="90A46B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15:restartNumberingAfterBreak="0">
    <w:nsid w:val="70663F5B"/>
    <w:multiLevelType w:val="hybridMultilevel"/>
    <w:tmpl w:val="FD0EB21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15:restartNumberingAfterBreak="0">
    <w:nsid w:val="71116BC3"/>
    <w:multiLevelType w:val="hybridMultilevel"/>
    <w:tmpl w:val="824E80F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5" w15:restartNumberingAfterBreak="0">
    <w:nsid w:val="713547CF"/>
    <w:multiLevelType w:val="multilevel"/>
    <w:tmpl w:val="5AC0029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6" w15:restartNumberingAfterBreak="0">
    <w:nsid w:val="72B3056E"/>
    <w:multiLevelType w:val="hybridMultilevel"/>
    <w:tmpl w:val="F4F26EB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762E1733"/>
    <w:multiLevelType w:val="multilevel"/>
    <w:tmpl w:val="61709A92"/>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8" w15:restartNumberingAfterBreak="0">
    <w:nsid w:val="763F338A"/>
    <w:multiLevelType w:val="hybridMultilevel"/>
    <w:tmpl w:val="C4907E1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770D7B36"/>
    <w:multiLevelType w:val="hybridMultilevel"/>
    <w:tmpl w:val="6DDAA57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77136A44"/>
    <w:multiLevelType w:val="hybridMultilevel"/>
    <w:tmpl w:val="741E2EE4"/>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77FB3D31"/>
    <w:multiLevelType w:val="hybridMultilevel"/>
    <w:tmpl w:val="13F4BABA"/>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78327084"/>
    <w:multiLevelType w:val="hybridMultilevel"/>
    <w:tmpl w:val="1DC4312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8DD0980"/>
    <w:multiLevelType w:val="hybridMultilevel"/>
    <w:tmpl w:val="E7EE1B2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794A684C"/>
    <w:multiLevelType w:val="hybridMultilevel"/>
    <w:tmpl w:val="08FE746C"/>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72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7AC704ED"/>
    <w:multiLevelType w:val="hybridMultilevel"/>
    <w:tmpl w:val="7332D9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BB236EF"/>
    <w:multiLevelType w:val="hybridMultilevel"/>
    <w:tmpl w:val="95CC6204"/>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9" w15:restartNumberingAfterBreak="0">
    <w:nsid w:val="7ED04AB8"/>
    <w:multiLevelType w:val="hybridMultilevel"/>
    <w:tmpl w:val="BCE4300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72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0" w15:restartNumberingAfterBreak="0">
    <w:nsid w:val="7F8C6162"/>
    <w:multiLevelType w:val="hybridMultilevel"/>
    <w:tmpl w:val="5CC424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264921869">
    <w:abstractNumId w:val="37"/>
  </w:num>
  <w:num w:numId="2" w16cid:durableId="606935877">
    <w:abstractNumId w:val="164"/>
  </w:num>
  <w:num w:numId="3" w16cid:durableId="611589570">
    <w:abstractNumId w:val="12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38"/>
  </w:num>
  <w:num w:numId="15" w16cid:durableId="616722934">
    <w:abstractNumId w:val="21"/>
  </w:num>
  <w:num w:numId="16" w16cid:durableId="898320195">
    <w:abstractNumId w:val="81"/>
  </w:num>
  <w:num w:numId="17" w16cid:durableId="2128498676">
    <w:abstractNumId w:val="193"/>
  </w:num>
  <w:num w:numId="18" w16cid:durableId="299724409">
    <w:abstractNumId w:val="141"/>
  </w:num>
  <w:num w:numId="19" w16cid:durableId="214585573">
    <w:abstractNumId w:val="51"/>
  </w:num>
  <w:num w:numId="20" w16cid:durableId="1289816170">
    <w:abstractNumId w:val="55"/>
  </w:num>
  <w:num w:numId="21" w16cid:durableId="1066490929">
    <w:abstractNumId w:val="198"/>
  </w:num>
  <w:num w:numId="22" w16cid:durableId="1472481103">
    <w:abstractNumId w:val="148"/>
  </w:num>
  <w:num w:numId="23" w16cid:durableId="1997420403">
    <w:abstractNumId w:val="168"/>
  </w:num>
  <w:num w:numId="24" w16cid:durableId="33312838">
    <w:abstractNumId w:val="142"/>
  </w:num>
  <w:num w:numId="25" w16cid:durableId="507404939">
    <w:abstractNumId w:val="78"/>
  </w:num>
  <w:num w:numId="26" w16cid:durableId="875969868">
    <w:abstractNumId w:val="99"/>
  </w:num>
  <w:num w:numId="27" w16cid:durableId="408970041">
    <w:abstractNumId w:val="130"/>
  </w:num>
  <w:num w:numId="28" w16cid:durableId="961347787">
    <w:abstractNumId w:val="192"/>
  </w:num>
  <w:num w:numId="29" w16cid:durableId="776218803">
    <w:abstractNumId w:val="191"/>
  </w:num>
  <w:num w:numId="30" w16cid:durableId="1840734127">
    <w:abstractNumId w:val="35"/>
  </w:num>
  <w:num w:numId="31" w16cid:durableId="1010835122">
    <w:abstractNumId w:val="123"/>
  </w:num>
  <w:num w:numId="32" w16cid:durableId="1643535111">
    <w:abstractNumId w:val="115"/>
  </w:num>
  <w:num w:numId="33" w16cid:durableId="1986469817">
    <w:abstractNumId w:val="108"/>
  </w:num>
  <w:num w:numId="34" w16cid:durableId="382603653">
    <w:abstractNumId w:val="169"/>
  </w:num>
  <w:num w:numId="35" w16cid:durableId="2135446009">
    <w:abstractNumId w:val="116"/>
  </w:num>
  <w:num w:numId="36" w16cid:durableId="549532231">
    <w:abstractNumId w:val="107"/>
  </w:num>
  <w:num w:numId="37" w16cid:durableId="1083380177">
    <w:abstractNumId w:val="105"/>
  </w:num>
  <w:num w:numId="38" w16cid:durableId="1862083649">
    <w:abstractNumId w:val="76"/>
  </w:num>
  <w:num w:numId="39" w16cid:durableId="1432890411">
    <w:abstractNumId w:val="174"/>
  </w:num>
  <w:num w:numId="40" w16cid:durableId="98185499">
    <w:abstractNumId w:val="137"/>
  </w:num>
  <w:num w:numId="41" w16cid:durableId="1217618200">
    <w:abstractNumId w:val="154"/>
  </w:num>
  <w:num w:numId="42" w16cid:durableId="913128525">
    <w:abstractNumId w:val="60"/>
  </w:num>
  <w:num w:numId="43" w16cid:durableId="808286847">
    <w:abstractNumId w:val="84"/>
  </w:num>
  <w:num w:numId="44" w16cid:durableId="1565867811">
    <w:abstractNumId w:val="85"/>
  </w:num>
  <w:num w:numId="45" w16cid:durableId="889265953">
    <w:abstractNumId w:val="175"/>
  </w:num>
  <w:num w:numId="46" w16cid:durableId="832066732">
    <w:abstractNumId w:val="149"/>
  </w:num>
  <w:num w:numId="47" w16cid:durableId="1773353146">
    <w:abstractNumId w:val="186"/>
  </w:num>
  <w:num w:numId="48" w16cid:durableId="764348720">
    <w:abstractNumId w:val="32"/>
  </w:num>
  <w:num w:numId="49" w16cid:durableId="1760827169">
    <w:abstractNumId w:val="59"/>
  </w:num>
  <w:num w:numId="50" w16cid:durableId="421604525">
    <w:abstractNumId w:val="18"/>
  </w:num>
  <w:num w:numId="51" w16cid:durableId="220335320">
    <w:abstractNumId w:val="46"/>
  </w:num>
  <w:num w:numId="52" w16cid:durableId="1143542753">
    <w:abstractNumId w:val="143"/>
  </w:num>
  <w:num w:numId="53" w16cid:durableId="904149667">
    <w:abstractNumId w:val="88"/>
  </w:num>
  <w:num w:numId="54" w16cid:durableId="136263655">
    <w:abstractNumId w:val="31"/>
  </w:num>
  <w:num w:numId="55" w16cid:durableId="488248680">
    <w:abstractNumId w:val="132"/>
  </w:num>
  <w:num w:numId="56" w16cid:durableId="122042965">
    <w:abstractNumId w:val="119"/>
  </w:num>
  <w:num w:numId="57" w16cid:durableId="1128817557">
    <w:abstractNumId w:val="17"/>
  </w:num>
  <w:num w:numId="58" w16cid:durableId="875850948">
    <w:abstractNumId w:val="139"/>
  </w:num>
  <w:num w:numId="59" w16cid:durableId="1435707087">
    <w:abstractNumId w:val="96"/>
  </w:num>
  <w:num w:numId="60" w16cid:durableId="1919364772">
    <w:abstractNumId w:val="104"/>
  </w:num>
  <w:num w:numId="61" w16cid:durableId="794906193">
    <w:abstractNumId w:val="111"/>
  </w:num>
  <w:num w:numId="62" w16cid:durableId="2040814743">
    <w:abstractNumId w:val="98"/>
  </w:num>
  <w:num w:numId="63" w16cid:durableId="599024400">
    <w:abstractNumId w:val="43"/>
  </w:num>
  <w:num w:numId="64" w16cid:durableId="1680935005">
    <w:abstractNumId w:val="13"/>
  </w:num>
  <w:num w:numId="65" w16cid:durableId="1908571663">
    <w:abstractNumId w:val="113"/>
  </w:num>
  <w:num w:numId="66" w16cid:durableId="472217834">
    <w:abstractNumId w:val="86"/>
  </w:num>
  <w:num w:numId="67" w16cid:durableId="382949922">
    <w:abstractNumId w:val="20"/>
  </w:num>
  <w:num w:numId="68" w16cid:durableId="904334995">
    <w:abstractNumId w:val="138"/>
  </w:num>
  <w:num w:numId="69" w16cid:durableId="2015373085">
    <w:abstractNumId w:val="100"/>
  </w:num>
  <w:num w:numId="70" w16cid:durableId="151603559">
    <w:abstractNumId w:val="22"/>
  </w:num>
  <w:num w:numId="71" w16cid:durableId="1536312422">
    <w:abstractNumId w:val="117"/>
  </w:num>
  <w:num w:numId="72" w16cid:durableId="728189681">
    <w:abstractNumId w:val="122"/>
  </w:num>
  <w:num w:numId="73" w16cid:durableId="1808280083">
    <w:abstractNumId w:val="66"/>
  </w:num>
  <w:num w:numId="74" w16cid:durableId="940994755">
    <w:abstractNumId w:val="197"/>
  </w:num>
  <w:num w:numId="75" w16cid:durableId="1968269650">
    <w:abstractNumId w:val="70"/>
  </w:num>
  <w:num w:numId="76" w16cid:durableId="1074934891">
    <w:abstractNumId w:val="159"/>
  </w:num>
  <w:num w:numId="77" w16cid:durableId="1854148892">
    <w:abstractNumId w:val="47"/>
  </w:num>
  <w:num w:numId="78" w16cid:durableId="2009751473">
    <w:abstractNumId w:val="133"/>
  </w:num>
  <w:num w:numId="79" w16cid:durableId="874738388">
    <w:abstractNumId w:val="58"/>
  </w:num>
  <w:num w:numId="80" w16cid:durableId="910886938">
    <w:abstractNumId w:val="74"/>
  </w:num>
  <w:num w:numId="81" w16cid:durableId="652298102">
    <w:abstractNumId w:val="182"/>
  </w:num>
  <w:num w:numId="82" w16cid:durableId="789125151">
    <w:abstractNumId w:val="177"/>
  </w:num>
  <w:num w:numId="83" w16cid:durableId="792597441">
    <w:abstractNumId w:val="10"/>
  </w:num>
  <w:num w:numId="84" w16cid:durableId="692194390">
    <w:abstractNumId w:val="194"/>
  </w:num>
  <w:num w:numId="85" w16cid:durableId="191310279">
    <w:abstractNumId w:val="64"/>
  </w:num>
  <w:num w:numId="86" w16cid:durableId="993214901">
    <w:abstractNumId w:val="127"/>
  </w:num>
  <w:num w:numId="87" w16cid:durableId="1094714828">
    <w:abstractNumId w:val="24"/>
  </w:num>
  <w:num w:numId="88" w16cid:durableId="1105467694">
    <w:abstractNumId w:val="79"/>
  </w:num>
  <w:num w:numId="89" w16cid:durableId="170991529">
    <w:abstractNumId w:val="94"/>
  </w:num>
  <w:num w:numId="90" w16cid:durableId="838732368">
    <w:abstractNumId w:val="14"/>
  </w:num>
  <w:num w:numId="91" w16cid:durableId="1327249770">
    <w:abstractNumId w:val="170"/>
  </w:num>
  <w:num w:numId="92" w16cid:durableId="999314133">
    <w:abstractNumId w:val="181"/>
  </w:num>
  <w:num w:numId="93" w16cid:durableId="1805461478">
    <w:abstractNumId w:val="109"/>
  </w:num>
  <w:num w:numId="94" w16cid:durableId="378212398">
    <w:abstractNumId w:val="110"/>
  </w:num>
  <w:num w:numId="95" w16cid:durableId="1595477395">
    <w:abstractNumId w:val="147"/>
  </w:num>
  <w:num w:numId="96" w16cid:durableId="11612073">
    <w:abstractNumId w:val="56"/>
  </w:num>
  <w:num w:numId="97" w16cid:durableId="1958296028">
    <w:abstractNumId w:val="167"/>
  </w:num>
  <w:num w:numId="98" w16cid:durableId="828642496">
    <w:abstractNumId w:val="63"/>
  </w:num>
  <w:num w:numId="99" w16cid:durableId="1227498051">
    <w:abstractNumId w:val="39"/>
  </w:num>
  <w:num w:numId="100" w16cid:durableId="1636132310">
    <w:abstractNumId w:val="72"/>
  </w:num>
  <w:num w:numId="101" w16cid:durableId="2089573411">
    <w:abstractNumId w:val="92"/>
  </w:num>
  <w:num w:numId="102" w16cid:durableId="551891817">
    <w:abstractNumId w:val="42"/>
  </w:num>
  <w:num w:numId="103" w16cid:durableId="196939742">
    <w:abstractNumId w:val="91"/>
  </w:num>
  <w:num w:numId="104" w16cid:durableId="2035954998">
    <w:abstractNumId w:val="162"/>
  </w:num>
  <w:num w:numId="105" w16cid:durableId="1992172411">
    <w:abstractNumId w:val="173"/>
  </w:num>
  <w:num w:numId="106" w16cid:durableId="718432260">
    <w:abstractNumId w:val="153"/>
  </w:num>
  <w:num w:numId="107" w16cid:durableId="1461649453">
    <w:abstractNumId w:val="36"/>
  </w:num>
  <w:num w:numId="108" w16cid:durableId="599067821">
    <w:abstractNumId w:val="29"/>
  </w:num>
  <w:num w:numId="109" w16cid:durableId="1905950289">
    <w:abstractNumId w:val="69"/>
  </w:num>
  <w:num w:numId="110" w16cid:durableId="679968240">
    <w:abstractNumId w:val="112"/>
  </w:num>
  <w:num w:numId="111" w16cid:durableId="674768679">
    <w:abstractNumId w:val="165"/>
  </w:num>
  <w:num w:numId="112" w16cid:durableId="2044356427">
    <w:abstractNumId w:val="62"/>
  </w:num>
  <w:num w:numId="113" w16cid:durableId="528448790">
    <w:abstractNumId w:val="71"/>
  </w:num>
  <w:num w:numId="114" w16cid:durableId="884171281">
    <w:abstractNumId w:val="172"/>
  </w:num>
  <w:num w:numId="115" w16cid:durableId="605234757">
    <w:abstractNumId w:val="16"/>
  </w:num>
  <w:num w:numId="116" w16cid:durableId="376390369">
    <w:abstractNumId w:val="65"/>
  </w:num>
  <w:num w:numId="117" w16cid:durableId="1725179230">
    <w:abstractNumId w:val="19"/>
  </w:num>
  <w:num w:numId="118" w16cid:durableId="1982076367">
    <w:abstractNumId w:val="188"/>
  </w:num>
  <w:num w:numId="119" w16cid:durableId="908618088">
    <w:abstractNumId w:val="75"/>
  </w:num>
  <w:num w:numId="120" w16cid:durableId="1589268710">
    <w:abstractNumId w:val="178"/>
  </w:num>
  <w:num w:numId="121" w16cid:durableId="1460957442">
    <w:abstractNumId w:val="89"/>
  </w:num>
  <w:num w:numId="122" w16cid:durableId="304624409">
    <w:abstractNumId w:val="11"/>
  </w:num>
  <w:num w:numId="123" w16cid:durableId="1266840515">
    <w:abstractNumId w:val="156"/>
  </w:num>
  <w:num w:numId="124" w16cid:durableId="23794294">
    <w:abstractNumId w:val="151"/>
  </w:num>
  <w:num w:numId="125" w16cid:durableId="836577434">
    <w:abstractNumId w:val="140"/>
  </w:num>
  <w:num w:numId="126" w16cid:durableId="1051030895">
    <w:abstractNumId w:val="183"/>
  </w:num>
  <w:num w:numId="127" w16cid:durableId="234512297">
    <w:abstractNumId w:val="126"/>
  </w:num>
  <w:num w:numId="128" w16cid:durableId="1730491423">
    <w:abstractNumId w:val="57"/>
  </w:num>
  <w:num w:numId="129" w16cid:durableId="1177311979">
    <w:abstractNumId w:val="150"/>
  </w:num>
  <w:num w:numId="130" w16cid:durableId="388261772">
    <w:abstractNumId w:val="50"/>
  </w:num>
  <w:num w:numId="131" w16cid:durableId="431172027">
    <w:abstractNumId w:val="82"/>
  </w:num>
  <w:num w:numId="132" w16cid:durableId="522670059">
    <w:abstractNumId w:val="189"/>
  </w:num>
  <w:num w:numId="133" w16cid:durableId="612590131">
    <w:abstractNumId w:val="163"/>
  </w:num>
  <w:num w:numId="134" w16cid:durableId="266542046">
    <w:abstractNumId w:val="95"/>
  </w:num>
  <w:num w:numId="135" w16cid:durableId="284891566">
    <w:abstractNumId w:val="180"/>
  </w:num>
  <w:num w:numId="136" w16cid:durableId="1054040966">
    <w:abstractNumId w:val="152"/>
  </w:num>
  <w:num w:numId="137" w16cid:durableId="969674785">
    <w:abstractNumId w:val="155"/>
  </w:num>
  <w:num w:numId="138" w16cid:durableId="1232080746">
    <w:abstractNumId w:val="48"/>
  </w:num>
  <w:num w:numId="139" w16cid:durableId="188226639">
    <w:abstractNumId w:val="52"/>
  </w:num>
  <w:num w:numId="140" w16cid:durableId="2114199739">
    <w:abstractNumId w:val="106"/>
  </w:num>
  <w:num w:numId="141" w16cid:durableId="188034280">
    <w:abstractNumId w:val="54"/>
  </w:num>
  <w:num w:numId="142" w16cid:durableId="1542932905">
    <w:abstractNumId w:val="40"/>
  </w:num>
  <w:num w:numId="143" w16cid:durableId="2066029809">
    <w:abstractNumId w:val="198"/>
  </w:num>
  <w:num w:numId="144" w16cid:durableId="568925124">
    <w:abstractNumId w:val="198"/>
  </w:num>
  <w:num w:numId="145" w16cid:durableId="151140076">
    <w:abstractNumId w:val="198"/>
  </w:num>
  <w:num w:numId="146" w16cid:durableId="801459948">
    <w:abstractNumId w:val="198"/>
  </w:num>
  <w:num w:numId="147" w16cid:durableId="1604222410">
    <w:abstractNumId w:val="198"/>
  </w:num>
  <w:num w:numId="148" w16cid:durableId="646588709">
    <w:abstractNumId w:val="198"/>
  </w:num>
  <w:num w:numId="149" w16cid:durableId="1627924949">
    <w:abstractNumId w:val="198"/>
  </w:num>
  <w:num w:numId="150" w16cid:durableId="673848379">
    <w:abstractNumId w:val="198"/>
  </w:num>
  <w:num w:numId="151" w16cid:durableId="1193105993">
    <w:abstractNumId w:val="198"/>
  </w:num>
  <w:num w:numId="152" w16cid:durableId="807935247">
    <w:abstractNumId w:val="198"/>
  </w:num>
  <w:num w:numId="153" w16cid:durableId="2125146270">
    <w:abstractNumId w:val="198"/>
  </w:num>
  <w:num w:numId="154" w16cid:durableId="12802867">
    <w:abstractNumId w:val="198"/>
  </w:num>
  <w:num w:numId="155" w16cid:durableId="634871359">
    <w:abstractNumId w:val="198"/>
  </w:num>
  <w:num w:numId="156" w16cid:durableId="1193685426">
    <w:abstractNumId w:val="198"/>
  </w:num>
  <w:num w:numId="157" w16cid:durableId="91320096">
    <w:abstractNumId w:val="198"/>
  </w:num>
  <w:num w:numId="158" w16cid:durableId="38018919">
    <w:abstractNumId w:val="196"/>
  </w:num>
  <w:num w:numId="159" w16cid:durableId="282274656">
    <w:abstractNumId w:val="103"/>
  </w:num>
  <w:num w:numId="160" w16cid:durableId="912206810">
    <w:abstractNumId w:val="198"/>
  </w:num>
  <w:num w:numId="161" w16cid:durableId="36315857">
    <w:abstractNumId w:val="198"/>
  </w:num>
  <w:num w:numId="162" w16cid:durableId="1133476492">
    <w:abstractNumId w:val="198"/>
  </w:num>
  <w:num w:numId="163" w16cid:durableId="1499275037">
    <w:abstractNumId w:val="198"/>
  </w:num>
  <w:num w:numId="164" w16cid:durableId="961767420">
    <w:abstractNumId w:val="198"/>
  </w:num>
  <w:num w:numId="165" w16cid:durableId="113718066">
    <w:abstractNumId w:val="198"/>
  </w:num>
  <w:num w:numId="166" w16cid:durableId="1706633904">
    <w:abstractNumId w:val="134"/>
  </w:num>
  <w:num w:numId="167" w16cid:durableId="1933464626">
    <w:abstractNumId w:val="120"/>
  </w:num>
  <w:num w:numId="168" w16cid:durableId="1643845587">
    <w:abstractNumId w:val="198"/>
  </w:num>
  <w:num w:numId="169" w16cid:durableId="1429543419">
    <w:abstractNumId w:val="77"/>
  </w:num>
  <w:num w:numId="170" w16cid:durableId="1006833580">
    <w:abstractNumId w:val="160"/>
  </w:num>
  <w:num w:numId="171" w16cid:durableId="2044549411">
    <w:abstractNumId w:val="144"/>
  </w:num>
  <w:num w:numId="172" w16cid:durableId="380596452">
    <w:abstractNumId w:val="67"/>
  </w:num>
  <w:num w:numId="173" w16cid:durableId="1006522456">
    <w:abstractNumId w:val="200"/>
  </w:num>
  <w:num w:numId="174" w16cid:durableId="1761179819">
    <w:abstractNumId w:val="12"/>
  </w:num>
  <w:num w:numId="175" w16cid:durableId="312222770">
    <w:abstractNumId w:val="131"/>
  </w:num>
  <w:num w:numId="176" w16cid:durableId="1268925201">
    <w:abstractNumId w:val="68"/>
  </w:num>
  <w:num w:numId="177" w16cid:durableId="1205950590">
    <w:abstractNumId w:val="102"/>
  </w:num>
  <w:num w:numId="178" w16cid:durableId="1115489110">
    <w:abstractNumId w:val="90"/>
  </w:num>
  <w:num w:numId="179" w16cid:durableId="1655139002">
    <w:abstractNumId w:val="145"/>
  </w:num>
  <w:num w:numId="180" w16cid:durableId="179780511">
    <w:abstractNumId w:val="195"/>
  </w:num>
  <w:num w:numId="181" w16cid:durableId="1060440227">
    <w:abstractNumId w:val="124"/>
  </w:num>
  <w:num w:numId="182" w16cid:durableId="2112704998">
    <w:abstractNumId w:val="198"/>
  </w:num>
  <w:num w:numId="183" w16cid:durableId="148520457">
    <w:abstractNumId w:val="198"/>
  </w:num>
  <w:num w:numId="184" w16cid:durableId="255132750">
    <w:abstractNumId w:val="146"/>
  </w:num>
  <w:num w:numId="185" w16cid:durableId="2030712330">
    <w:abstractNumId w:val="198"/>
  </w:num>
  <w:num w:numId="186" w16cid:durableId="1108350203">
    <w:abstractNumId w:val="198"/>
  </w:num>
  <w:num w:numId="187" w16cid:durableId="1556359166">
    <w:abstractNumId w:val="198"/>
  </w:num>
  <w:num w:numId="188" w16cid:durableId="1139957901">
    <w:abstractNumId w:val="198"/>
  </w:num>
  <w:num w:numId="189" w16cid:durableId="215430608">
    <w:abstractNumId w:val="49"/>
  </w:num>
  <w:num w:numId="190" w16cid:durableId="824055727">
    <w:abstractNumId w:val="125"/>
  </w:num>
  <w:num w:numId="191" w16cid:durableId="184485888">
    <w:abstractNumId w:val="23"/>
  </w:num>
  <w:num w:numId="192" w16cid:durableId="733699847">
    <w:abstractNumId w:val="171"/>
  </w:num>
  <w:num w:numId="193" w16cid:durableId="549078551">
    <w:abstractNumId w:val="73"/>
  </w:num>
  <w:num w:numId="194" w16cid:durableId="135605082">
    <w:abstractNumId w:val="161"/>
  </w:num>
  <w:num w:numId="195" w16cid:durableId="1039823397">
    <w:abstractNumId w:val="33"/>
  </w:num>
  <w:num w:numId="196" w16cid:durableId="503476280">
    <w:abstractNumId w:val="114"/>
  </w:num>
  <w:num w:numId="197" w16cid:durableId="1270235628">
    <w:abstractNumId w:val="34"/>
  </w:num>
  <w:num w:numId="198" w16cid:durableId="1816096172">
    <w:abstractNumId w:val="166"/>
  </w:num>
  <w:num w:numId="199" w16cid:durableId="767701335">
    <w:abstractNumId w:val="179"/>
  </w:num>
  <w:num w:numId="200" w16cid:durableId="1952200859">
    <w:abstractNumId w:val="184"/>
  </w:num>
  <w:num w:numId="201" w16cid:durableId="1910654363">
    <w:abstractNumId w:val="176"/>
  </w:num>
  <w:num w:numId="202" w16cid:durableId="2007904184">
    <w:abstractNumId w:val="28"/>
  </w:num>
  <w:num w:numId="203" w16cid:durableId="1813133524">
    <w:abstractNumId w:val="118"/>
  </w:num>
  <w:num w:numId="204" w16cid:durableId="1548906559">
    <w:abstractNumId w:val="158"/>
  </w:num>
  <w:num w:numId="205" w16cid:durableId="1390807646">
    <w:abstractNumId w:val="41"/>
  </w:num>
  <w:num w:numId="206" w16cid:durableId="613093676">
    <w:abstractNumId w:val="27"/>
  </w:num>
  <w:num w:numId="207" w16cid:durableId="622151789">
    <w:abstractNumId w:val="93"/>
  </w:num>
  <w:num w:numId="208" w16cid:durableId="116341716">
    <w:abstractNumId w:val="157"/>
  </w:num>
  <w:num w:numId="209" w16cid:durableId="1728799693">
    <w:abstractNumId w:val="128"/>
  </w:num>
  <w:num w:numId="210" w16cid:durableId="1198592071">
    <w:abstractNumId w:val="45"/>
  </w:num>
  <w:num w:numId="211" w16cid:durableId="1414159708">
    <w:abstractNumId w:val="135"/>
  </w:num>
  <w:num w:numId="212" w16cid:durableId="84571224">
    <w:abstractNumId w:val="101"/>
  </w:num>
  <w:num w:numId="213" w16cid:durableId="2101295347">
    <w:abstractNumId w:val="80"/>
  </w:num>
  <w:num w:numId="214" w16cid:durableId="895043730">
    <w:abstractNumId w:val="199"/>
  </w:num>
  <w:num w:numId="215" w16cid:durableId="1603148519">
    <w:abstractNumId w:val="61"/>
  </w:num>
  <w:num w:numId="216" w16cid:durableId="1510605167">
    <w:abstractNumId w:val="198"/>
  </w:num>
  <w:num w:numId="217" w16cid:durableId="2002418326">
    <w:abstractNumId w:val="198"/>
  </w:num>
  <w:num w:numId="218" w16cid:durableId="915748852">
    <w:abstractNumId w:val="198"/>
  </w:num>
  <w:num w:numId="219" w16cid:durableId="1412004278">
    <w:abstractNumId w:val="97"/>
  </w:num>
  <w:num w:numId="220" w16cid:durableId="58675671">
    <w:abstractNumId w:val="44"/>
  </w:num>
  <w:num w:numId="221" w16cid:durableId="56709339">
    <w:abstractNumId w:val="190"/>
  </w:num>
  <w:num w:numId="222" w16cid:durableId="541748248">
    <w:abstractNumId w:val="121"/>
  </w:num>
  <w:num w:numId="223" w16cid:durableId="1391732754">
    <w:abstractNumId w:val="15"/>
  </w:num>
  <w:num w:numId="224" w16cid:durableId="290138122">
    <w:abstractNumId w:val="53"/>
  </w:num>
  <w:num w:numId="225" w16cid:durableId="220405858">
    <w:abstractNumId w:val="83"/>
  </w:num>
  <w:num w:numId="226" w16cid:durableId="1286078508">
    <w:abstractNumId w:val="30"/>
  </w:num>
  <w:num w:numId="227" w16cid:durableId="74397478">
    <w:abstractNumId w:val="26"/>
  </w:num>
  <w:num w:numId="228" w16cid:durableId="2114588906">
    <w:abstractNumId w:val="25"/>
  </w:num>
  <w:num w:numId="229" w16cid:durableId="1144279428">
    <w:abstractNumId w:val="185"/>
  </w:num>
  <w:num w:numId="230" w16cid:durableId="833764486">
    <w:abstractNumId w:val="187"/>
  </w:num>
  <w:num w:numId="231" w16cid:durableId="360979180">
    <w:abstractNumId w:val="136"/>
  </w:num>
  <w:num w:numId="232" w16cid:durableId="1324775541">
    <w:abstractNumId w:val="87"/>
  </w:num>
  <w:num w:numId="233" w16cid:durableId="15885914">
    <w:abstractNumId w:val="198"/>
  </w:num>
  <w:num w:numId="234" w16cid:durableId="369114872">
    <w:abstractNumId w:val="198"/>
  </w:num>
  <w:num w:numId="235" w16cid:durableId="1296259709">
    <w:abstractNumId w:val="198"/>
  </w:num>
  <w:num w:numId="236" w16cid:durableId="1708069221">
    <w:abstractNumId w:val="198"/>
  </w:num>
  <w:num w:numId="237" w16cid:durableId="578250946">
    <w:abstractNumId w:val="198"/>
  </w:num>
  <w:num w:numId="238" w16cid:durableId="227154840">
    <w:abstractNumId w:val="164"/>
  </w:num>
  <w:num w:numId="239" w16cid:durableId="2009559119">
    <w:abstractNumId w:val="164"/>
  </w:num>
  <w:num w:numId="240" w16cid:durableId="1240561068">
    <w:abstractNumId w:val="164"/>
  </w:num>
  <w:num w:numId="241" w16cid:durableId="1366445961">
    <w:abstractNumId w:val="164"/>
  </w:num>
  <w:numIdMacAtCleanup w:val="2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0B58"/>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3012"/>
    <w:rsid w:val="0003572F"/>
    <w:rsid w:val="00036079"/>
    <w:rsid w:val="00037636"/>
    <w:rsid w:val="00037A95"/>
    <w:rsid w:val="0004226E"/>
    <w:rsid w:val="000425B0"/>
    <w:rsid w:val="00043056"/>
    <w:rsid w:val="0004360A"/>
    <w:rsid w:val="0004480D"/>
    <w:rsid w:val="0004685F"/>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59C0"/>
    <w:rsid w:val="000561B5"/>
    <w:rsid w:val="000564BC"/>
    <w:rsid w:val="00057358"/>
    <w:rsid w:val="00057C68"/>
    <w:rsid w:val="00057CD8"/>
    <w:rsid w:val="00060959"/>
    <w:rsid w:val="000609B8"/>
    <w:rsid w:val="00062816"/>
    <w:rsid w:val="000632AB"/>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5C7"/>
    <w:rsid w:val="00095B9C"/>
    <w:rsid w:val="00096233"/>
    <w:rsid w:val="0009781E"/>
    <w:rsid w:val="000A0CCE"/>
    <w:rsid w:val="000A1653"/>
    <w:rsid w:val="000A1ACD"/>
    <w:rsid w:val="000A2697"/>
    <w:rsid w:val="000A34B0"/>
    <w:rsid w:val="000A3543"/>
    <w:rsid w:val="000A42D7"/>
    <w:rsid w:val="000A5AE5"/>
    <w:rsid w:val="000A71EC"/>
    <w:rsid w:val="000A779F"/>
    <w:rsid w:val="000A7D51"/>
    <w:rsid w:val="000B068C"/>
    <w:rsid w:val="000B0F9D"/>
    <w:rsid w:val="000B104D"/>
    <w:rsid w:val="000B129F"/>
    <w:rsid w:val="000B1961"/>
    <w:rsid w:val="000B20CD"/>
    <w:rsid w:val="000B31B2"/>
    <w:rsid w:val="000B40A1"/>
    <w:rsid w:val="000B57DC"/>
    <w:rsid w:val="000B5871"/>
    <w:rsid w:val="000B5E31"/>
    <w:rsid w:val="000B6086"/>
    <w:rsid w:val="000B61D7"/>
    <w:rsid w:val="000B7167"/>
    <w:rsid w:val="000B71C5"/>
    <w:rsid w:val="000B7827"/>
    <w:rsid w:val="000B7CFC"/>
    <w:rsid w:val="000C0577"/>
    <w:rsid w:val="000C1120"/>
    <w:rsid w:val="000C1550"/>
    <w:rsid w:val="000C2343"/>
    <w:rsid w:val="000C28E8"/>
    <w:rsid w:val="000C2E65"/>
    <w:rsid w:val="000C3B5A"/>
    <w:rsid w:val="000C5A6F"/>
    <w:rsid w:val="000C625F"/>
    <w:rsid w:val="000C6610"/>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92F"/>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2A3"/>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AAD"/>
    <w:rsid w:val="0012554F"/>
    <w:rsid w:val="00125550"/>
    <w:rsid w:val="00126D87"/>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5E31"/>
    <w:rsid w:val="001363FB"/>
    <w:rsid w:val="0013644C"/>
    <w:rsid w:val="00136BE6"/>
    <w:rsid w:val="001370F9"/>
    <w:rsid w:val="00137657"/>
    <w:rsid w:val="00137956"/>
    <w:rsid w:val="00137C7B"/>
    <w:rsid w:val="00140B8C"/>
    <w:rsid w:val="00140ED6"/>
    <w:rsid w:val="00143269"/>
    <w:rsid w:val="0014405C"/>
    <w:rsid w:val="0014413C"/>
    <w:rsid w:val="00144795"/>
    <w:rsid w:val="001448D4"/>
    <w:rsid w:val="00144AAD"/>
    <w:rsid w:val="00144B23"/>
    <w:rsid w:val="00144BEB"/>
    <w:rsid w:val="00145A96"/>
    <w:rsid w:val="00146C1A"/>
    <w:rsid w:val="00150AFC"/>
    <w:rsid w:val="00151DA8"/>
    <w:rsid w:val="00152135"/>
    <w:rsid w:val="00153164"/>
    <w:rsid w:val="00154B0F"/>
    <w:rsid w:val="00154E30"/>
    <w:rsid w:val="00154FE0"/>
    <w:rsid w:val="00155A51"/>
    <w:rsid w:val="001560C4"/>
    <w:rsid w:val="00156A50"/>
    <w:rsid w:val="00156B77"/>
    <w:rsid w:val="00156E31"/>
    <w:rsid w:val="00160472"/>
    <w:rsid w:val="00162951"/>
    <w:rsid w:val="001630B4"/>
    <w:rsid w:val="00165258"/>
    <w:rsid w:val="00165670"/>
    <w:rsid w:val="00165A99"/>
    <w:rsid w:val="001675AA"/>
    <w:rsid w:val="00170325"/>
    <w:rsid w:val="0017033A"/>
    <w:rsid w:val="00173AB9"/>
    <w:rsid w:val="001747DB"/>
    <w:rsid w:val="00174B72"/>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2FFF"/>
    <w:rsid w:val="001933EE"/>
    <w:rsid w:val="00193696"/>
    <w:rsid w:val="001944B7"/>
    <w:rsid w:val="0019677F"/>
    <w:rsid w:val="0019733B"/>
    <w:rsid w:val="00197771"/>
    <w:rsid w:val="001A0E7C"/>
    <w:rsid w:val="001A2781"/>
    <w:rsid w:val="001A2987"/>
    <w:rsid w:val="001A320A"/>
    <w:rsid w:val="001A33ED"/>
    <w:rsid w:val="001A3750"/>
    <w:rsid w:val="001A432C"/>
    <w:rsid w:val="001A4C1C"/>
    <w:rsid w:val="001A4DBB"/>
    <w:rsid w:val="001A55B8"/>
    <w:rsid w:val="001A576D"/>
    <w:rsid w:val="001A57C5"/>
    <w:rsid w:val="001A6053"/>
    <w:rsid w:val="001A7761"/>
    <w:rsid w:val="001B2E00"/>
    <w:rsid w:val="001B459A"/>
    <w:rsid w:val="001B4C8F"/>
    <w:rsid w:val="001B5232"/>
    <w:rsid w:val="001B6FFC"/>
    <w:rsid w:val="001B72C7"/>
    <w:rsid w:val="001C0617"/>
    <w:rsid w:val="001C1C00"/>
    <w:rsid w:val="001C1C5D"/>
    <w:rsid w:val="001C2409"/>
    <w:rsid w:val="001C266E"/>
    <w:rsid w:val="001C3E60"/>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7D9"/>
    <w:rsid w:val="001E7C7E"/>
    <w:rsid w:val="001F031E"/>
    <w:rsid w:val="001F0F10"/>
    <w:rsid w:val="001F23D0"/>
    <w:rsid w:val="001F24E7"/>
    <w:rsid w:val="001F2760"/>
    <w:rsid w:val="001F2C28"/>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27C94"/>
    <w:rsid w:val="002303E5"/>
    <w:rsid w:val="002326EC"/>
    <w:rsid w:val="00232BF5"/>
    <w:rsid w:val="002338A0"/>
    <w:rsid w:val="00233FF2"/>
    <w:rsid w:val="002341EB"/>
    <w:rsid w:val="0023423A"/>
    <w:rsid w:val="002346E7"/>
    <w:rsid w:val="00235900"/>
    <w:rsid w:val="00235A26"/>
    <w:rsid w:val="00235ADF"/>
    <w:rsid w:val="00235FEF"/>
    <w:rsid w:val="002375BA"/>
    <w:rsid w:val="00240136"/>
    <w:rsid w:val="00240736"/>
    <w:rsid w:val="00240C70"/>
    <w:rsid w:val="0024185D"/>
    <w:rsid w:val="002423DE"/>
    <w:rsid w:val="00242A53"/>
    <w:rsid w:val="00242E29"/>
    <w:rsid w:val="00242F54"/>
    <w:rsid w:val="00243017"/>
    <w:rsid w:val="0024305D"/>
    <w:rsid w:val="00244442"/>
    <w:rsid w:val="0024498F"/>
    <w:rsid w:val="00244E82"/>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0E69"/>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05B"/>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5EC7"/>
    <w:rsid w:val="002965CE"/>
    <w:rsid w:val="00296EC3"/>
    <w:rsid w:val="00297405"/>
    <w:rsid w:val="002A02BE"/>
    <w:rsid w:val="002A0A3B"/>
    <w:rsid w:val="002A0DB7"/>
    <w:rsid w:val="002A0F12"/>
    <w:rsid w:val="002A1602"/>
    <w:rsid w:val="002A1A1C"/>
    <w:rsid w:val="002A245D"/>
    <w:rsid w:val="002A3CC2"/>
    <w:rsid w:val="002A529C"/>
    <w:rsid w:val="002A55D9"/>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BE3"/>
    <w:rsid w:val="002C4DE3"/>
    <w:rsid w:val="002C544C"/>
    <w:rsid w:val="002C554A"/>
    <w:rsid w:val="002C56FC"/>
    <w:rsid w:val="002C5C53"/>
    <w:rsid w:val="002C6509"/>
    <w:rsid w:val="002C674A"/>
    <w:rsid w:val="002C6B71"/>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488"/>
    <w:rsid w:val="00305A72"/>
    <w:rsid w:val="00305BDF"/>
    <w:rsid w:val="00305F83"/>
    <w:rsid w:val="00306B2E"/>
    <w:rsid w:val="003070FF"/>
    <w:rsid w:val="00307499"/>
    <w:rsid w:val="00307DCC"/>
    <w:rsid w:val="0031160E"/>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4175"/>
    <w:rsid w:val="00334F96"/>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122F"/>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73A"/>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AC8"/>
    <w:rsid w:val="00396D00"/>
    <w:rsid w:val="00397A1B"/>
    <w:rsid w:val="003A0693"/>
    <w:rsid w:val="003A1066"/>
    <w:rsid w:val="003A2056"/>
    <w:rsid w:val="003A4B3A"/>
    <w:rsid w:val="003A5707"/>
    <w:rsid w:val="003A6459"/>
    <w:rsid w:val="003A6495"/>
    <w:rsid w:val="003A7860"/>
    <w:rsid w:val="003A796A"/>
    <w:rsid w:val="003B009E"/>
    <w:rsid w:val="003B057C"/>
    <w:rsid w:val="003B1472"/>
    <w:rsid w:val="003B1A5F"/>
    <w:rsid w:val="003B1D0F"/>
    <w:rsid w:val="003B282B"/>
    <w:rsid w:val="003B2B19"/>
    <w:rsid w:val="003B4BC1"/>
    <w:rsid w:val="003B4FB6"/>
    <w:rsid w:val="003B5444"/>
    <w:rsid w:val="003B5A8C"/>
    <w:rsid w:val="003B5C47"/>
    <w:rsid w:val="003B6158"/>
    <w:rsid w:val="003B7DE9"/>
    <w:rsid w:val="003C1356"/>
    <w:rsid w:val="003C1EA0"/>
    <w:rsid w:val="003C2846"/>
    <w:rsid w:val="003C2DBA"/>
    <w:rsid w:val="003C2F46"/>
    <w:rsid w:val="003C3B92"/>
    <w:rsid w:val="003C3EB1"/>
    <w:rsid w:val="003C47E1"/>
    <w:rsid w:val="003C4CD4"/>
    <w:rsid w:val="003C66DD"/>
    <w:rsid w:val="003C6EB7"/>
    <w:rsid w:val="003C6ED6"/>
    <w:rsid w:val="003C7530"/>
    <w:rsid w:val="003D0B0D"/>
    <w:rsid w:val="003D0BBA"/>
    <w:rsid w:val="003D16A3"/>
    <w:rsid w:val="003D1806"/>
    <w:rsid w:val="003D1B9C"/>
    <w:rsid w:val="003D1FBC"/>
    <w:rsid w:val="003D240A"/>
    <w:rsid w:val="003D2BE7"/>
    <w:rsid w:val="003D2ECF"/>
    <w:rsid w:val="003D3094"/>
    <w:rsid w:val="003D37ED"/>
    <w:rsid w:val="003D395A"/>
    <w:rsid w:val="003D46B0"/>
    <w:rsid w:val="003D542C"/>
    <w:rsid w:val="003D6970"/>
    <w:rsid w:val="003D6BFA"/>
    <w:rsid w:val="003D6C2D"/>
    <w:rsid w:val="003E1C0F"/>
    <w:rsid w:val="003E28D8"/>
    <w:rsid w:val="003E2F95"/>
    <w:rsid w:val="003E3201"/>
    <w:rsid w:val="003E3F3B"/>
    <w:rsid w:val="003E4C87"/>
    <w:rsid w:val="003E54DE"/>
    <w:rsid w:val="003E57BF"/>
    <w:rsid w:val="003E6FC2"/>
    <w:rsid w:val="003E7191"/>
    <w:rsid w:val="003E7944"/>
    <w:rsid w:val="003F057E"/>
    <w:rsid w:val="003F1304"/>
    <w:rsid w:val="003F1E98"/>
    <w:rsid w:val="003F21EE"/>
    <w:rsid w:val="003F2C67"/>
    <w:rsid w:val="003F5824"/>
    <w:rsid w:val="003F5BD5"/>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978"/>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5068"/>
    <w:rsid w:val="00456003"/>
    <w:rsid w:val="00456A47"/>
    <w:rsid w:val="0045790D"/>
    <w:rsid w:val="00457BC4"/>
    <w:rsid w:val="00460001"/>
    <w:rsid w:val="0046058E"/>
    <w:rsid w:val="00460F4A"/>
    <w:rsid w:val="00460F61"/>
    <w:rsid w:val="0046197A"/>
    <w:rsid w:val="00461A9E"/>
    <w:rsid w:val="00462FA2"/>
    <w:rsid w:val="00463B17"/>
    <w:rsid w:val="00464A47"/>
    <w:rsid w:val="00465D41"/>
    <w:rsid w:val="00467039"/>
    <w:rsid w:val="0046758D"/>
    <w:rsid w:val="0046774D"/>
    <w:rsid w:val="004701D8"/>
    <w:rsid w:val="00470A2B"/>
    <w:rsid w:val="004715B7"/>
    <w:rsid w:val="004715CD"/>
    <w:rsid w:val="00471CB4"/>
    <w:rsid w:val="00471D60"/>
    <w:rsid w:val="00472590"/>
    <w:rsid w:val="00472BA6"/>
    <w:rsid w:val="00472D92"/>
    <w:rsid w:val="004733F3"/>
    <w:rsid w:val="004743C0"/>
    <w:rsid w:val="00474CA4"/>
    <w:rsid w:val="00474E36"/>
    <w:rsid w:val="004750FC"/>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D24"/>
    <w:rsid w:val="00486F89"/>
    <w:rsid w:val="00486F9E"/>
    <w:rsid w:val="004872D7"/>
    <w:rsid w:val="0048779B"/>
    <w:rsid w:val="00487DA7"/>
    <w:rsid w:val="00487FF5"/>
    <w:rsid w:val="00490862"/>
    <w:rsid w:val="004909A6"/>
    <w:rsid w:val="0049110A"/>
    <w:rsid w:val="00491AAF"/>
    <w:rsid w:val="00492DA6"/>
    <w:rsid w:val="004932BB"/>
    <w:rsid w:val="00493AED"/>
    <w:rsid w:val="00494054"/>
    <w:rsid w:val="00494B52"/>
    <w:rsid w:val="00495ADE"/>
    <w:rsid w:val="0049611C"/>
    <w:rsid w:val="00497D66"/>
    <w:rsid w:val="004A0605"/>
    <w:rsid w:val="004A0803"/>
    <w:rsid w:val="004A0F44"/>
    <w:rsid w:val="004A1CC5"/>
    <w:rsid w:val="004A23E2"/>
    <w:rsid w:val="004A2416"/>
    <w:rsid w:val="004A261A"/>
    <w:rsid w:val="004A2B77"/>
    <w:rsid w:val="004A36A8"/>
    <w:rsid w:val="004A37EB"/>
    <w:rsid w:val="004A3A2D"/>
    <w:rsid w:val="004A3CCF"/>
    <w:rsid w:val="004A476E"/>
    <w:rsid w:val="004A4C5F"/>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27C"/>
    <w:rsid w:val="005155DD"/>
    <w:rsid w:val="00515A3D"/>
    <w:rsid w:val="00515A5C"/>
    <w:rsid w:val="005166CA"/>
    <w:rsid w:val="00516920"/>
    <w:rsid w:val="00517206"/>
    <w:rsid w:val="00520296"/>
    <w:rsid w:val="00520A89"/>
    <w:rsid w:val="00521081"/>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0E27"/>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6CDD"/>
    <w:rsid w:val="0055710E"/>
    <w:rsid w:val="00560433"/>
    <w:rsid w:val="00560464"/>
    <w:rsid w:val="00560623"/>
    <w:rsid w:val="0056090D"/>
    <w:rsid w:val="00561079"/>
    <w:rsid w:val="005615E4"/>
    <w:rsid w:val="0056309E"/>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00BA"/>
    <w:rsid w:val="00571574"/>
    <w:rsid w:val="005724E9"/>
    <w:rsid w:val="0057290E"/>
    <w:rsid w:val="00572BE3"/>
    <w:rsid w:val="00572C22"/>
    <w:rsid w:val="00573B96"/>
    <w:rsid w:val="0057408D"/>
    <w:rsid w:val="00574CC2"/>
    <w:rsid w:val="00574D98"/>
    <w:rsid w:val="005752E2"/>
    <w:rsid w:val="0057545A"/>
    <w:rsid w:val="00575C86"/>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55EF"/>
    <w:rsid w:val="00596960"/>
    <w:rsid w:val="005970A9"/>
    <w:rsid w:val="00597579"/>
    <w:rsid w:val="00597BF2"/>
    <w:rsid w:val="005A015C"/>
    <w:rsid w:val="005A04AA"/>
    <w:rsid w:val="005A09BB"/>
    <w:rsid w:val="005A0E43"/>
    <w:rsid w:val="005A32D3"/>
    <w:rsid w:val="005A33BD"/>
    <w:rsid w:val="005A3D7E"/>
    <w:rsid w:val="005A3FAF"/>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425D"/>
    <w:rsid w:val="005B496D"/>
    <w:rsid w:val="005B52C4"/>
    <w:rsid w:val="005C026B"/>
    <w:rsid w:val="005C194C"/>
    <w:rsid w:val="005C2667"/>
    <w:rsid w:val="005C275C"/>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D6C"/>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E792C"/>
    <w:rsid w:val="005F0A5B"/>
    <w:rsid w:val="005F10FC"/>
    <w:rsid w:val="005F1A16"/>
    <w:rsid w:val="005F27E4"/>
    <w:rsid w:val="005F2E73"/>
    <w:rsid w:val="005F3979"/>
    <w:rsid w:val="005F3DBD"/>
    <w:rsid w:val="005F478E"/>
    <w:rsid w:val="005F4CD7"/>
    <w:rsid w:val="005F5180"/>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7"/>
    <w:rsid w:val="00614799"/>
    <w:rsid w:val="00615D0E"/>
    <w:rsid w:val="0061673E"/>
    <w:rsid w:val="00617744"/>
    <w:rsid w:val="00617950"/>
    <w:rsid w:val="00617BB8"/>
    <w:rsid w:val="00621772"/>
    <w:rsid w:val="00622770"/>
    <w:rsid w:val="00622801"/>
    <w:rsid w:val="00622BDF"/>
    <w:rsid w:val="00623221"/>
    <w:rsid w:val="006239EB"/>
    <w:rsid w:val="00624FDF"/>
    <w:rsid w:val="006252F2"/>
    <w:rsid w:val="00625D43"/>
    <w:rsid w:val="00626122"/>
    <w:rsid w:val="00626803"/>
    <w:rsid w:val="006278F4"/>
    <w:rsid w:val="00627B98"/>
    <w:rsid w:val="00631305"/>
    <w:rsid w:val="00631F71"/>
    <w:rsid w:val="006328A6"/>
    <w:rsid w:val="0063336C"/>
    <w:rsid w:val="00633471"/>
    <w:rsid w:val="0063391A"/>
    <w:rsid w:val="00633B1C"/>
    <w:rsid w:val="00633C00"/>
    <w:rsid w:val="006349A7"/>
    <w:rsid w:val="00634C01"/>
    <w:rsid w:val="00634DD7"/>
    <w:rsid w:val="00634EA3"/>
    <w:rsid w:val="00635717"/>
    <w:rsid w:val="00635C32"/>
    <w:rsid w:val="00636D27"/>
    <w:rsid w:val="0063736B"/>
    <w:rsid w:val="006374D1"/>
    <w:rsid w:val="0063765D"/>
    <w:rsid w:val="006377AF"/>
    <w:rsid w:val="00637D18"/>
    <w:rsid w:val="00640673"/>
    <w:rsid w:val="0064175A"/>
    <w:rsid w:val="00642734"/>
    <w:rsid w:val="00642971"/>
    <w:rsid w:val="00642BEF"/>
    <w:rsid w:val="0064309D"/>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4741"/>
    <w:rsid w:val="00665820"/>
    <w:rsid w:val="00666579"/>
    <w:rsid w:val="00666A21"/>
    <w:rsid w:val="00666FFD"/>
    <w:rsid w:val="00667755"/>
    <w:rsid w:val="00667944"/>
    <w:rsid w:val="00670751"/>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5C0"/>
    <w:rsid w:val="00684881"/>
    <w:rsid w:val="00685107"/>
    <w:rsid w:val="00685164"/>
    <w:rsid w:val="006852BE"/>
    <w:rsid w:val="00685620"/>
    <w:rsid w:val="00685E5D"/>
    <w:rsid w:val="00686184"/>
    <w:rsid w:val="0068667E"/>
    <w:rsid w:val="006868B5"/>
    <w:rsid w:val="00687C15"/>
    <w:rsid w:val="006909A7"/>
    <w:rsid w:val="00690AE8"/>
    <w:rsid w:val="006913AD"/>
    <w:rsid w:val="006917AF"/>
    <w:rsid w:val="006919C1"/>
    <w:rsid w:val="0069283D"/>
    <w:rsid w:val="00692A50"/>
    <w:rsid w:val="00693B34"/>
    <w:rsid w:val="00694B18"/>
    <w:rsid w:val="00694B30"/>
    <w:rsid w:val="00694B8A"/>
    <w:rsid w:val="00694C2D"/>
    <w:rsid w:val="00696693"/>
    <w:rsid w:val="00696B79"/>
    <w:rsid w:val="00697304"/>
    <w:rsid w:val="006A1C30"/>
    <w:rsid w:val="006A1D42"/>
    <w:rsid w:val="006A29D6"/>
    <w:rsid w:val="006A2EC3"/>
    <w:rsid w:val="006A37C9"/>
    <w:rsid w:val="006A3CFD"/>
    <w:rsid w:val="006A3F40"/>
    <w:rsid w:val="006A790B"/>
    <w:rsid w:val="006A7B7D"/>
    <w:rsid w:val="006B01F7"/>
    <w:rsid w:val="006B1845"/>
    <w:rsid w:val="006B33B8"/>
    <w:rsid w:val="006B34B3"/>
    <w:rsid w:val="006B371D"/>
    <w:rsid w:val="006B4156"/>
    <w:rsid w:val="006B556B"/>
    <w:rsid w:val="006B5AAA"/>
    <w:rsid w:val="006B5DBA"/>
    <w:rsid w:val="006B65A1"/>
    <w:rsid w:val="006B6649"/>
    <w:rsid w:val="006B6AB6"/>
    <w:rsid w:val="006B717C"/>
    <w:rsid w:val="006B732C"/>
    <w:rsid w:val="006C040D"/>
    <w:rsid w:val="006C05C5"/>
    <w:rsid w:val="006C093D"/>
    <w:rsid w:val="006C163A"/>
    <w:rsid w:val="006C1D68"/>
    <w:rsid w:val="006C3252"/>
    <w:rsid w:val="006C48F6"/>
    <w:rsid w:val="006C519A"/>
    <w:rsid w:val="006C52D4"/>
    <w:rsid w:val="006C5786"/>
    <w:rsid w:val="006C584B"/>
    <w:rsid w:val="006C5F67"/>
    <w:rsid w:val="006D00F3"/>
    <w:rsid w:val="006D0FA8"/>
    <w:rsid w:val="006D1263"/>
    <w:rsid w:val="006D171C"/>
    <w:rsid w:val="006D21AA"/>
    <w:rsid w:val="006D23BA"/>
    <w:rsid w:val="006D24CA"/>
    <w:rsid w:val="006D2BFB"/>
    <w:rsid w:val="006D341B"/>
    <w:rsid w:val="006D3542"/>
    <w:rsid w:val="006D3888"/>
    <w:rsid w:val="006D4EA6"/>
    <w:rsid w:val="006D618E"/>
    <w:rsid w:val="006D62DA"/>
    <w:rsid w:val="006D662E"/>
    <w:rsid w:val="006D66E8"/>
    <w:rsid w:val="006D6E11"/>
    <w:rsid w:val="006D6FA0"/>
    <w:rsid w:val="006E0743"/>
    <w:rsid w:val="006E08C9"/>
    <w:rsid w:val="006E09C3"/>
    <w:rsid w:val="006E28B1"/>
    <w:rsid w:val="006E3D4F"/>
    <w:rsid w:val="006E3E7B"/>
    <w:rsid w:val="006E3F80"/>
    <w:rsid w:val="006E423D"/>
    <w:rsid w:val="006E4C56"/>
    <w:rsid w:val="006E53FA"/>
    <w:rsid w:val="006E55CD"/>
    <w:rsid w:val="006E7677"/>
    <w:rsid w:val="006E7E43"/>
    <w:rsid w:val="006E7FCD"/>
    <w:rsid w:val="006F01E6"/>
    <w:rsid w:val="006F0498"/>
    <w:rsid w:val="006F05FA"/>
    <w:rsid w:val="006F06FF"/>
    <w:rsid w:val="006F214B"/>
    <w:rsid w:val="006F2882"/>
    <w:rsid w:val="006F392F"/>
    <w:rsid w:val="006F3EAE"/>
    <w:rsid w:val="006F42E6"/>
    <w:rsid w:val="006F53D8"/>
    <w:rsid w:val="006F5F82"/>
    <w:rsid w:val="006F6AD5"/>
    <w:rsid w:val="006F6D2D"/>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764"/>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ADC"/>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AF4"/>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F29"/>
    <w:rsid w:val="00760B2C"/>
    <w:rsid w:val="007622EA"/>
    <w:rsid w:val="007627F6"/>
    <w:rsid w:val="00762AE4"/>
    <w:rsid w:val="00762DDD"/>
    <w:rsid w:val="00763714"/>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1E4"/>
    <w:rsid w:val="00785A2E"/>
    <w:rsid w:val="007860BA"/>
    <w:rsid w:val="00786EFB"/>
    <w:rsid w:val="007876BF"/>
    <w:rsid w:val="00787FE9"/>
    <w:rsid w:val="007908C6"/>
    <w:rsid w:val="007912A7"/>
    <w:rsid w:val="00791494"/>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467D"/>
    <w:rsid w:val="007A56B7"/>
    <w:rsid w:val="007A5CEC"/>
    <w:rsid w:val="007A61F8"/>
    <w:rsid w:val="007A7386"/>
    <w:rsid w:val="007A7861"/>
    <w:rsid w:val="007A7A2C"/>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39"/>
    <w:rsid w:val="007C2CEC"/>
    <w:rsid w:val="007C3391"/>
    <w:rsid w:val="007C38D6"/>
    <w:rsid w:val="007C4D57"/>
    <w:rsid w:val="007C4F4F"/>
    <w:rsid w:val="007C528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51F"/>
    <w:rsid w:val="007E1AA0"/>
    <w:rsid w:val="007E1E4C"/>
    <w:rsid w:val="007E2C35"/>
    <w:rsid w:val="007E427E"/>
    <w:rsid w:val="007E450C"/>
    <w:rsid w:val="007E4AD4"/>
    <w:rsid w:val="007E5C16"/>
    <w:rsid w:val="007E5C40"/>
    <w:rsid w:val="007E7B46"/>
    <w:rsid w:val="007F02C3"/>
    <w:rsid w:val="007F11E6"/>
    <w:rsid w:val="007F1321"/>
    <w:rsid w:val="007F20FF"/>
    <w:rsid w:val="007F2388"/>
    <w:rsid w:val="007F2641"/>
    <w:rsid w:val="007F280C"/>
    <w:rsid w:val="007F2FAC"/>
    <w:rsid w:val="007F349F"/>
    <w:rsid w:val="007F45AF"/>
    <w:rsid w:val="007F475E"/>
    <w:rsid w:val="007F4888"/>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5C"/>
    <w:rsid w:val="00813D9B"/>
    <w:rsid w:val="008140EC"/>
    <w:rsid w:val="00814A2D"/>
    <w:rsid w:val="00817095"/>
    <w:rsid w:val="008171AA"/>
    <w:rsid w:val="0082041F"/>
    <w:rsid w:val="00821A95"/>
    <w:rsid w:val="00822077"/>
    <w:rsid w:val="00822A02"/>
    <w:rsid w:val="00822FDA"/>
    <w:rsid w:val="008231A9"/>
    <w:rsid w:val="0082357B"/>
    <w:rsid w:val="0082395F"/>
    <w:rsid w:val="00823B22"/>
    <w:rsid w:val="008254BC"/>
    <w:rsid w:val="00826FDC"/>
    <w:rsid w:val="008308BE"/>
    <w:rsid w:val="00830CE5"/>
    <w:rsid w:val="00831130"/>
    <w:rsid w:val="008313C2"/>
    <w:rsid w:val="00832520"/>
    <w:rsid w:val="00832E80"/>
    <w:rsid w:val="00832EB5"/>
    <w:rsid w:val="00832F22"/>
    <w:rsid w:val="0083565A"/>
    <w:rsid w:val="00835A0B"/>
    <w:rsid w:val="008409AE"/>
    <w:rsid w:val="00840EA7"/>
    <w:rsid w:val="008428E1"/>
    <w:rsid w:val="00842F87"/>
    <w:rsid w:val="008432CC"/>
    <w:rsid w:val="0084364B"/>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47BD"/>
    <w:rsid w:val="00866B5D"/>
    <w:rsid w:val="00866BCA"/>
    <w:rsid w:val="00866CFE"/>
    <w:rsid w:val="0087158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2F52"/>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656A"/>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250"/>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38B"/>
    <w:rsid w:val="00934A46"/>
    <w:rsid w:val="00935BC3"/>
    <w:rsid w:val="00937266"/>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0349"/>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0DE4"/>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87ED4"/>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2455"/>
    <w:rsid w:val="009A35FA"/>
    <w:rsid w:val="009A3D32"/>
    <w:rsid w:val="009A3DE5"/>
    <w:rsid w:val="009A53DE"/>
    <w:rsid w:val="009A5649"/>
    <w:rsid w:val="009A6D30"/>
    <w:rsid w:val="009A7487"/>
    <w:rsid w:val="009A78A9"/>
    <w:rsid w:val="009A7A2B"/>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3946"/>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3EC"/>
    <w:rsid w:val="00A37EFC"/>
    <w:rsid w:val="00A40451"/>
    <w:rsid w:val="00A40764"/>
    <w:rsid w:val="00A40A9D"/>
    <w:rsid w:val="00A412F8"/>
    <w:rsid w:val="00A41637"/>
    <w:rsid w:val="00A41972"/>
    <w:rsid w:val="00A41BCD"/>
    <w:rsid w:val="00A41D75"/>
    <w:rsid w:val="00A43152"/>
    <w:rsid w:val="00A441DF"/>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504"/>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6EFA"/>
    <w:rsid w:val="00A87B90"/>
    <w:rsid w:val="00A87BF7"/>
    <w:rsid w:val="00A9069E"/>
    <w:rsid w:val="00A923EA"/>
    <w:rsid w:val="00A937D2"/>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2BE3"/>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AF78F9"/>
    <w:rsid w:val="00B00963"/>
    <w:rsid w:val="00B01716"/>
    <w:rsid w:val="00B01BDE"/>
    <w:rsid w:val="00B02279"/>
    <w:rsid w:val="00B02A53"/>
    <w:rsid w:val="00B03227"/>
    <w:rsid w:val="00B038AD"/>
    <w:rsid w:val="00B038CA"/>
    <w:rsid w:val="00B03B5E"/>
    <w:rsid w:val="00B03B92"/>
    <w:rsid w:val="00B0459E"/>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1533"/>
    <w:rsid w:val="00B323A4"/>
    <w:rsid w:val="00B33563"/>
    <w:rsid w:val="00B3404B"/>
    <w:rsid w:val="00B34057"/>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1BE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6E"/>
    <w:rsid w:val="00BA2F74"/>
    <w:rsid w:val="00BA4969"/>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3FA8"/>
    <w:rsid w:val="00BC47DC"/>
    <w:rsid w:val="00BC51D6"/>
    <w:rsid w:val="00BC51E9"/>
    <w:rsid w:val="00BC62C0"/>
    <w:rsid w:val="00BC633A"/>
    <w:rsid w:val="00BC6777"/>
    <w:rsid w:val="00BC67F7"/>
    <w:rsid w:val="00BC6D95"/>
    <w:rsid w:val="00BC79A6"/>
    <w:rsid w:val="00BD07B4"/>
    <w:rsid w:val="00BD1CC1"/>
    <w:rsid w:val="00BD2A68"/>
    <w:rsid w:val="00BD2E54"/>
    <w:rsid w:val="00BD37CC"/>
    <w:rsid w:val="00BD5061"/>
    <w:rsid w:val="00BD589A"/>
    <w:rsid w:val="00BD5D53"/>
    <w:rsid w:val="00BD672B"/>
    <w:rsid w:val="00BD6ED4"/>
    <w:rsid w:val="00BE0818"/>
    <w:rsid w:val="00BE094B"/>
    <w:rsid w:val="00BE181E"/>
    <w:rsid w:val="00BE1A32"/>
    <w:rsid w:val="00BE23F2"/>
    <w:rsid w:val="00BE2659"/>
    <w:rsid w:val="00BE2E87"/>
    <w:rsid w:val="00BE2ED5"/>
    <w:rsid w:val="00BE38A5"/>
    <w:rsid w:val="00BE3B53"/>
    <w:rsid w:val="00BE3BC7"/>
    <w:rsid w:val="00BE4562"/>
    <w:rsid w:val="00BE516B"/>
    <w:rsid w:val="00BE5586"/>
    <w:rsid w:val="00BE5599"/>
    <w:rsid w:val="00BE725B"/>
    <w:rsid w:val="00BE7721"/>
    <w:rsid w:val="00BE797D"/>
    <w:rsid w:val="00BF094D"/>
    <w:rsid w:val="00BF0CB2"/>
    <w:rsid w:val="00BF1735"/>
    <w:rsid w:val="00BF1BF2"/>
    <w:rsid w:val="00BF1D36"/>
    <w:rsid w:val="00BF203C"/>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1EFF"/>
    <w:rsid w:val="00C22262"/>
    <w:rsid w:val="00C229E9"/>
    <w:rsid w:val="00C22BA2"/>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56FE"/>
    <w:rsid w:val="00C459B0"/>
    <w:rsid w:val="00C46786"/>
    <w:rsid w:val="00C46C79"/>
    <w:rsid w:val="00C50021"/>
    <w:rsid w:val="00C50045"/>
    <w:rsid w:val="00C50267"/>
    <w:rsid w:val="00C50446"/>
    <w:rsid w:val="00C511E1"/>
    <w:rsid w:val="00C51255"/>
    <w:rsid w:val="00C52389"/>
    <w:rsid w:val="00C53013"/>
    <w:rsid w:val="00C53D02"/>
    <w:rsid w:val="00C541B5"/>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192"/>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65E"/>
    <w:rsid w:val="00CA0DA0"/>
    <w:rsid w:val="00CA1531"/>
    <w:rsid w:val="00CA156C"/>
    <w:rsid w:val="00CA1C61"/>
    <w:rsid w:val="00CA1FC9"/>
    <w:rsid w:val="00CA22D7"/>
    <w:rsid w:val="00CA273C"/>
    <w:rsid w:val="00CA4298"/>
    <w:rsid w:val="00CA43AA"/>
    <w:rsid w:val="00CA50EC"/>
    <w:rsid w:val="00CA59F7"/>
    <w:rsid w:val="00CA6E68"/>
    <w:rsid w:val="00CA7208"/>
    <w:rsid w:val="00CB1279"/>
    <w:rsid w:val="00CB13DF"/>
    <w:rsid w:val="00CB2D12"/>
    <w:rsid w:val="00CB2E36"/>
    <w:rsid w:val="00CB38E8"/>
    <w:rsid w:val="00CB3CAD"/>
    <w:rsid w:val="00CB4985"/>
    <w:rsid w:val="00CB63DB"/>
    <w:rsid w:val="00CB677D"/>
    <w:rsid w:val="00CB6C37"/>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02D"/>
    <w:rsid w:val="00CD03D0"/>
    <w:rsid w:val="00CD04D5"/>
    <w:rsid w:val="00CD0B4F"/>
    <w:rsid w:val="00CD1B5B"/>
    <w:rsid w:val="00CD3C27"/>
    <w:rsid w:val="00CD4084"/>
    <w:rsid w:val="00CD59BF"/>
    <w:rsid w:val="00CD6E3C"/>
    <w:rsid w:val="00CD74BA"/>
    <w:rsid w:val="00CE0B55"/>
    <w:rsid w:val="00CE0E3E"/>
    <w:rsid w:val="00CE12A6"/>
    <w:rsid w:val="00CE1968"/>
    <w:rsid w:val="00CE1C6F"/>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2A3D"/>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1A8"/>
    <w:rsid w:val="00D33412"/>
    <w:rsid w:val="00D34220"/>
    <w:rsid w:val="00D3433D"/>
    <w:rsid w:val="00D345D3"/>
    <w:rsid w:val="00D34B5E"/>
    <w:rsid w:val="00D3537F"/>
    <w:rsid w:val="00D35582"/>
    <w:rsid w:val="00D37CB3"/>
    <w:rsid w:val="00D400AE"/>
    <w:rsid w:val="00D40197"/>
    <w:rsid w:val="00D40716"/>
    <w:rsid w:val="00D411F0"/>
    <w:rsid w:val="00D41649"/>
    <w:rsid w:val="00D41E25"/>
    <w:rsid w:val="00D41E7D"/>
    <w:rsid w:val="00D42063"/>
    <w:rsid w:val="00D4228F"/>
    <w:rsid w:val="00D427A2"/>
    <w:rsid w:val="00D4318F"/>
    <w:rsid w:val="00D43207"/>
    <w:rsid w:val="00D43375"/>
    <w:rsid w:val="00D4381E"/>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2D8E"/>
    <w:rsid w:val="00D5331B"/>
    <w:rsid w:val="00D5579C"/>
    <w:rsid w:val="00D56213"/>
    <w:rsid w:val="00D566EA"/>
    <w:rsid w:val="00D56FC3"/>
    <w:rsid w:val="00D578A8"/>
    <w:rsid w:val="00D6162B"/>
    <w:rsid w:val="00D64807"/>
    <w:rsid w:val="00D6549B"/>
    <w:rsid w:val="00D65533"/>
    <w:rsid w:val="00D665CC"/>
    <w:rsid w:val="00D67252"/>
    <w:rsid w:val="00D67EFA"/>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3F75"/>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6E55"/>
    <w:rsid w:val="00D97119"/>
    <w:rsid w:val="00D974E4"/>
    <w:rsid w:val="00D97A46"/>
    <w:rsid w:val="00D97B49"/>
    <w:rsid w:val="00DA05D5"/>
    <w:rsid w:val="00DA0924"/>
    <w:rsid w:val="00DA0969"/>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4C4"/>
    <w:rsid w:val="00DC5E7C"/>
    <w:rsid w:val="00DC693A"/>
    <w:rsid w:val="00DC7B0D"/>
    <w:rsid w:val="00DC7CBE"/>
    <w:rsid w:val="00DD11EC"/>
    <w:rsid w:val="00DD1A9A"/>
    <w:rsid w:val="00DD1F42"/>
    <w:rsid w:val="00DD23B6"/>
    <w:rsid w:val="00DD34C0"/>
    <w:rsid w:val="00DD4A91"/>
    <w:rsid w:val="00DD4EA3"/>
    <w:rsid w:val="00DD5193"/>
    <w:rsid w:val="00DD5970"/>
    <w:rsid w:val="00DD6F65"/>
    <w:rsid w:val="00DD70A3"/>
    <w:rsid w:val="00DE02C1"/>
    <w:rsid w:val="00DE0723"/>
    <w:rsid w:val="00DE1800"/>
    <w:rsid w:val="00DE1C7E"/>
    <w:rsid w:val="00DE1CC7"/>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AAB"/>
    <w:rsid w:val="00E01E80"/>
    <w:rsid w:val="00E02122"/>
    <w:rsid w:val="00E02F34"/>
    <w:rsid w:val="00E03160"/>
    <w:rsid w:val="00E0384C"/>
    <w:rsid w:val="00E04264"/>
    <w:rsid w:val="00E046C3"/>
    <w:rsid w:val="00E050E1"/>
    <w:rsid w:val="00E057C3"/>
    <w:rsid w:val="00E057F8"/>
    <w:rsid w:val="00E06458"/>
    <w:rsid w:val="00E071C4"/>
    <w:rsid w:val="00E074AC"/>
    <w:rsid w:val="00E07603"/>
    <w:rsid w:val="00E07A70"/>
    <w:rsid w:val="00E07CE0"/>
    <w:rsid w:val="00E10293"/>
    <w:rsid w:val="00E11427"/>
    <w:rsid w:val="00E1169A"/>
    <w:rsid w:val="00E123AA"/>
    <w:rsid w:val="00E12598"/>
    <w:rsid w:val="00E13FD8"/>
    <w:rsid w:val="00E1542D"/>
    <w:rsid w:val="00E159FD"/>
    <w:rsid w:val="00E15EC4"/>
    <w:rsid w:val="00E165CF"/>
    <w:rsid w:val="00E166ED"/>
    <w:rsid w:val="00E1699F"/>
    <w:rsid w:val="00E20E34"/>
    <w:rsid w:val="00E212B1"/>
    <w:rsid w:val="00E21380"/>
    <w:rsid w:val="00E21E0B"/>
    <w:rsid w:val="00E23842"/>
    <w:rsid w:val="00E24048"/>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35B0"/>
    <w:rsid w:val="00E34E1E"/>
    <w:rsid w:val="00E3574C"/>
    <w:rsid w:val="00E357BB"/>
    <w:rsid w:val="00E3631C"/>
    <w:rsid w:val="00E369D1"/>
    <w:rsid w:val="00E36D92"/>
    <w:rsid w:val="00E36FE9"/>
    <w:rsid w:val="00E37AC2"/>
    <w:rsid w:val="00E37D6E"/>
    <w:rsid w:val="00E37E5D"/>
    <w:rsid w:val="00E37EBA"/>
    <w:rsid w:val="00E40054"/>
    <w:rsid w:val="00E413A5"/>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119"/>
    <w:rsid w:val="00E652A9"/>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1558"/>
    <w:rsid w:val="00E821AE"/>
    <w:rsid w:val="00E82475"/>
    <w:rsid w:val="00E82ABA"/>
    <w:rsid w:val="00E83A86"/>
    <w:rsid w:val="00E846F8"/>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4E2F"/>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8E"/>
    <w:rsid w:val="00ED04EC"/>
    <w:rsid w:val="00ED052F"/>
    <w:rsid w:val="00ED0E29"/>
    <w:rsid w:val="00ED28C4"/>
    <w:rsid w:val="00ED334E"/>
    <w:rsid w:val="00ED3800"/>
    <w:rsid w:val="00ED3A2A"/>
    <w:rsid w:val="00ED6038"/>
    <w:rsid w:val="00ED653F"/>
    <w:rsid w:val="00ED6550"/>
    <w:rsid w:val="00ED748E"/>
    <w:rsid w:val="00ED7D4A"/>
    <w:rsid w:val="00EE02E3"/>
    <w:rsid w:val="00EE07BA"/>
    <w:rsid w:val="00EE0D34"/>
    <w:rsid w:val="00EE1515"/>
    <w:rsid w:val="00EE27CF"/>
    <w:rsid w:val="00EE2BF1"/>
    <w:rsid w:val="00EE34FA"/>
    <w:rsid w:val="00EE4BA1"/>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59C"/>
    <w:rsid w:val="00F00778"/>
    <w:rsid w:val="00F01821"/>
    <w:rsid w:val="00F01D9B"/>
    <w:rsid w:val="00F03DEC"/>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09C5"/>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4B68"/>
    <w:rsid w:val="00F55113"/>
    <w:rsid w:val="00F554E0"/>
    <w:rsid w:val="00F56998"/>
    <w:rsid w:val="00F56BBE"/>
    <w:rsid w:val="00F57973"/>
    <w:rsid w:val="00F579AF"/>
    <w:rsid w:val="00F6121D"/>
    <w:rsid w:val="00F6150C"/>
    <w:rsid w:val="00F61D08"/>
    <w:rsid w:val="00F62081"/>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0D1A"/>
    <w:rsid w:val="00F810F2"/>
    <w:rsid w:val="00F81192"/>
    <w:rsid w:val="00F81513"/>
    <w:rsid w:val="00F81D51"/>
    <w:rsid w:val="00F82083"/>
    <w:rsid w:val="00F82179"/>
    <w:rsid w:val="00F826EA"/>
    <w:rsid w:val="00F831F7"/>
    <w:rsid w:val="00F83AB3"/>
    <w:rsid w:val="00F859EC"/>
    <w:rsid w:val="00F85AEE"/>
    <w:rsid w:val="00F863D0"/>
    <w:rsid w:val="00F86479"/>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2B7"/>
    <w:rsid w:val="00FB45CA"/>
    <w:rsid w:val="00FB5072"/>
    <w:rsid w:val="00FB52BF"/>
    <w:rsid w:val="00FB54E3"/>
    <w:rsid w:val="00FB5BE2"/>
    <w:rsid w:val="00FB6293"/>
    <w:rsid w:val="00FB62CF"/>
    <w:rsid w:val="00FB67B4"/>
    <w:rsid w:val="00FB7704"/>
    <w:rsid w:val="00FB7C14"/>
    <w:rsid w:val="00FB7CA0"/>
    <w:rsid w:val="00FC0500"/>
    <w:rsid w:val="00FC0ACC"/>
    <w:rsid w:val="00FC0C3B"/>
    <w:rsid w:val="00FC0C3D"/>
    <w:rsid w:val="00FC14CF"/>
    <w:rsid w:val="00FC1AAD"/>
    <w:rsid w:val="00FC2ADB"/>
    <w:rsid w:val="00FC2E5F"/>
    <w:rsid w:val="00FC385D"/>
    <w:rsid w:val="00FC5D44"/>
    <w:rsid w:val="00FC6576"/>
    <w:rsid w:val="00FC6C11"/>
    <w:rsid w:val="00FC734C"/>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93C"/>
    <w:rsid w:val="00FF2F94"/>
    <w:rsid w:val="00FF35C5"/>
    <w:rsid w:val="00FF37B2"/>
    <w:rsid w:val="00FF530E"/>
    <w:rsid w:val="00FF5B1D"/>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6BD320-E242-4BC7-B9CD-6C69656ABD36}"/>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2836</Words>
  <Characters>16170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Growth Hormone Without ISS SGM 1742-A</vt:lpstr>
    </vt:vector>
  </TitlesOfParts>
  <Company>CVS Caremark</Company>
  <LinksUpToDate>false</LinksUpToDate>
  <CharactersWithSpaces>18969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Growth Hormone Without ISS SGM 1742-A</dc:title>
  <dc:subject>Growth Hormone Without ISS SGM 1742-A</dc:subject>
  <dc:creator>CVS Caremark</dc:creator>
  <cp:keywords/>
  <cp:lastModifiedBy>Reynoso, Victor H</cp:lastModifiedBy>
  <cp:revision>5</cp:revision>
  <cp:lastPrinted>2024-04-30T06:49:00Z</cp:lastPrinted>
  <dcterms:created xsi:type="dcterms:W3CDTF">2025-04-09T18:20:00Z</dcterms:created>
  <dcterms:modified xsi:type="dcterms:W3CDTF">2025-04-09T18:24:00Z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937300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